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0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920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920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20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920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920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25</w:t>
      </w:r>
      <w:r>
        <w:rPr>
          <w:sz w:val="28"/>
          <w:szCs w:val="28"/>
          <w:u w:val="single"/>
        </w:rPr>
        <w:t xml:space="preserve">” </w:t>
      </w:r>
      <w:r>
        <w:rPr>
          <w:sz w:val="28"/>
          <w:szCs w:val="28"/>
          <w:u w:val="single"/>
        </w:rPr>
        <w:t xml:space="preserve">июн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№  </w:t>
      </w:r>
      <w:r>
        <w:rPr>
          <w:sz w:val="28"/>
          <w:szCs w:val="28"/>
          <w:u w:val="single"/>
          <w:lang w:val="en-US"/>
        </w:rPr>
        <w:t xml:space="preserve">4</w:t>
      </w:r>
      <w:r>
        <w:rPr>
          <w:sz w:val="28"/>
          <w:szCs w:val="28"/>
          <w:u w:val="single"/>
        </w:rPr>
        <w:t xml:space="preserve">/10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0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jc w:val="center"/>
        <w:spacing w:line="276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Календарном плане</w:t>
      </w:r>
      <w:r>
        <w:rPr>
          <w:b/>
          <w:bCs/>
          <w:sz w:val="28"/>
          <w:szCs w:val="28"/>
        </w:rPr>
        <w:t xml:space="preserve"> мероприятий по подготовке и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проведению дополнительных </w:t>
      </w:r>
      <w:r>
        <w:rPr>
          <w:b/>
          <w:bCs/>
          <w:sz w:val="28"/>
          <w:szCs w:val="28"/>
        </w:rPr>
        <w:t xml:space="preserve">выборов депутатов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Совета депутатов муниципального округа Воротынский </w:t>
      </w:r>
      <w:r>
        <w:rPr>
          <w:b/>
          <w:sz w:val="28"/>
          <w:szCs w:val="28"/>
        </w:rPr>
        <w:t xml:space="preserve">Нижегородской области второго созыва</w:t>
      </w:r>
      <w:r>
        <w:rPr>
          <w:b/>
          <w:sz w:val="28"/>
          <w:szCs w:val="28"/>
        </w:rPr>
        <w:t xml:space="preserve"> по одномандатным избирательным округам №9 и №12</w:t>
      </w:r>
      <w:r>
        <w:rPr>
          <w:b/>
          <w:sz w:val="28"/>
          <w:szCs w:val="28"/>
        </w:rPr>
      </w:r>
    </w:p>
    <w:p>
      <w:pPr>
        <w:pStyle w:val="909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назначенных на</w:t>
      </w:r>
      <w:r>
        <w:rPr>
          <w:b/>
          <w:sz w:val="28"/>
          <w:szCs w:val="28"/>
        </w:rPr>
        <w:t xml:space="preserve"> 20 сентября 2026</w:t>
      </w:r>
      <w:r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9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38"/>
        <w:ind w:left="0"/>
        <w:jc w:val="both"/>
        <w:spacing w:after="0" w:line="276" w:lineRule="auto"/>
        <w:rPr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В соответствии со статьей 15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Закона Нижегородской области </w:t>
      </w:r>
      <w:r>
        <w:rPr>
          <w:bCs/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от 06 сентября 2007 года № 108-З «О выборах депутатов представительных органов муниципальных образований Нижегородской области» и на основании </w:t>
      </w:r>
      <w:r>
        <w:rPr>
          <w:sz w:val="28"/>
          <w:szCs w:val="28"/>
        </w:rPr>
        <w:t xml:space="preserve">решения Совета депутатов муниципального округа Воротынский Нижегородской области от 22 июня 2026 года №48   </w:t>
      </w:r>
      <w:r>
        <w:rPr>
          <w:sz w:val="28"/>
          <w:szCs w:val="28"/>
        </w:rPr>
        <w:t xml:space="preserve">«О назначении дополнительных выборов депутатов Совета депутатов муниципального округа Воротынский Нижегородской области второго созыва»</w:t>
      </w:r>
      <w:r>
        <w:rPr>
          <w:bCs/>
          <w:sz w:val="28"/>
          <w:szCs w:val="28"/>
        </w:rPr>
        <w:t xml:space="preserve">,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муниципальног</w:t>
      </w:r>
      <w:r>
        <w:rPr>
          <w:sz w:val="28"/>
          <w:szCs w:val="28"/>
        </w:rPr>
        <w:t xml:space="preserve">о округа Воротынский Нижегородской области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   </w:t>
      </w:r>
      <w:r>
        <w:rPr>
          <w:sz w:val="28"/>
          <w:szCs w:val="28"/>
        </w:rPr>
        <w:t xml:space="preserve">ПОСТАНОВЛЯЕТ:   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938"/>
        <w:ind w:left="0"/>
        <w:jc w:val="both"/>
        <w:spacing w:after="0"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9"/>
        <w:ind w:firstLine="709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 Утвердить Календарный план мероприятий по подготовке и проведению </w:t>
      </w:r>
      <w:r>
        <w:rPr>
          <w:sz w:val="28"/>
          <w:szCs w:val="28"/>
        </w:rPr>
        <w:t xml:space="preserve">дополнительных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выборов </w:t>
      </w:r>
      <w:r>
        <w:rPr>
          <w:color w:val="000000"/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Совета депутатов муниципального округа Воротынский Нижегородской области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второго созыва по одномандатным избирательным округам №9 и №12 назначенных на 20 сентября 2026 года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(прилагается).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09"/>
        <w:ind w:firstLine="720"/>
        <w:jc w:val="both"/>
        <w:spacing w:line="276" w:lineRule="auto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азместить</w:t>
      </w:r>
      <w:r>
        <w:rPr>
          <w:color w:val="000000"/>
          <w:sz w:val="28"/>
          <w:szCs w:val="28"/>
        </w:rPr>
        <w:t xml:space="preserve"> настоящее постановление </w:t>
      </w:r>
      <w:r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 xml:space="preserve">портале органов местного самоуправления в разделе «Т</w:t>
      </w:r>
      <w:r>
        <w:rPr>
          <w:sz w:val="28"/>
          <w:szCs w:val="28"/>
        </w:rPr>
        <w:t xml:space="preserve">ерриториальная избирательная комиссия муниципальн</w:t>
      </w:r>
      <w:r>
        <w:rPr>
          <w:sz w:val="28"/>
          <w:szCs w:val="28"/>
        </w:rPr>
        <w:t xml:space="preserve">ого округа Воротынский Нижегородской области</w:t>
      </w:r>
      <w:r>
        <w:rPr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</w:r>
      <w:r>
        <w:rPr>
          <w:color w:val="000000"/>
          <w:sz w:val="28"/>
          <w:szCs w:val="28"/>
          <w:highlight w:val="none"/>
        </w:rPr>
      </w:r>
    </w:p>
    <w:p>
      <w:pPr>
        <w:pStyle w:val="909"/>
        <w:ind w:firstLine="709"/>
        <w:jc w:val="both"/>
        <w:spacing w:line="276" w:lineRule="auto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Возложить контроль за </w:t>
      </w:r>
      <w:r>
        <w:rPr>
          <w:sz w:val="28"/>
          <w:szCs w:val="28"/>
        </w:rPr>
        <w:t xml:space="preserve">ис</w:t>
      </w:r>
      <w:r>
        <w:rPr>
          <w:sz w:val="28"/>
          <w:szCs w:val="28"/>
        </w:rPr>
        <w:t xml:space="preserve">полнением </w:t>
      </w:r>
      <w:r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 xml:space="preserve">Календарного плана </w:t>
      </w:r>
      <w:r>
        <w:rPr>
          <w:sz w:val="28"/>
          <w:szCs w:val="28"/>
        </w:rPr>
        <w:t xml:space="preserve">по подготовке и проведению </w:t>
      </w:r>
      <w:r>
        <w:rPr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 xml:space="preserve">выборов </w:t>
      </w:r>
      <w:r>
        <w:rPr>
          <w:color w:val="000000"/>
          <w:sz w:val="28"/>
          <w:szCs w:val="28"/>
        </w:rPr>
        <w:t xml:space="preserve">депутатов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муниципального округа Воротынский Нижегородской области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второго созыва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одномандатным избирательным округам №9 и №12 назначенных на 20 сентября 2026 года</w:t>
      </w:r>
      <w:r/>
      <w:r>
        <w:rPr>
          <w:bCs/>
          <w:sz w:val="28"/>
          <w:szCs w:val="28"/>
        </w:rPr>
      </w:r>
      <w:r>
        <w:rPr>
          <w:sz w:val="28"/>
          <w:szCs w:val="28"/>
        </w:rPr>
        <w:t xml:space="preserve">на секретаря</w:t>
      </w:r>
      <w:r>
        <w:rPr>
          <w:sz w:val="28"/>
          <w:szCs w:val="28"/>
        </w:rPr>
        <w:t xml:space="preserve"> территориальной</w:t>
      </w:r>
      <w:r>
        <w:rPr>
          <w:sz w:val="28"/>
          <w:szCs w:val="28"/>
        </w:rPr>
        <w:t xml:space="preserve"> избирательной ко</w:t>
      </w:r>
      <w:r>
        <w:rPr>
          <w:sz w:val="28"/>
          <w:szCs w:val="28"/>
        </w:rPr>
        <w:t xml:space="preserve">миссии муниципально</w:t>
      </w:r>
      <w:r>
        <w:rPr>
          <w:sz w:val="28"/>
          <w:szCs w:val="28"/>
        </w:rPr>
        <w:t xml:space="preserve">го округа Воротынский Нижегородской области</w:t>
      </w:r>
      <w:r>
        <w:rPr>
          <w:sz w:val="28"/>
          <w:szCs w:val="28"/>
        </w:rPr>
        <w:t xml:space="preserve"> Герасимову Т.А</w:t>
      </w:r>
      <w:r>
        <w:rPr>
          <w:spacing w:val="2"/>
          <w:sz w:val="28"/>
          <w:szCs w:val="28"/>
        </w:rPr>
        <w:t xml:space="preserve">.</w:t>
      </w:r>
      <w:r>
        <w:rPr>
          <w:spacing w:val="2"/>
          <w:sz w:val="28"/>
          <w:szCs w:val="28"/>
        </w:rPr>
      </w:r>
      <w:r>
        <w:rPr>
          <w:spacing w:val="2"/>
          <w:sz w:val="28"/>
          <w:szCs w:val="28"/>
        </w:rPr>
      </w:r>
    </w:p>
    <w:p>
      <w:pPr>
        <w:pStyle w:val="909"/>
        <w:ind w:firstLine="720"/>
        <w:jc w:val="both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09"/>
        <w:jc w:val="center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pPr w:horzAnchor="text" w:tblpXSpec="left" w:vertAnchor="text" w:tblpY="1" w:leftFromText="180" w:topFromText="0" w:rightFromText="180" w:bottomFromText="0"/>
        <w:tblW w:w="964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68"/>
        <w:gridCol w:w="78"/>
        <w:gridCol w:w="4421"/>
        <w:gridCol w:w="7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8" w:type="dxa"/>
            <w:vAlign w:val="top"/>
            <w:textDirection w:val="lrTb"/>
            <w:noWrap w:val="false"/>
          </w:tcPr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П</w:t>
            </w:r>
            <w:r>
              <w:rPr>
                <w:szCs w:val="28"/>
              </w:rPr>
              <w:t xml:space="preserve">редседател</w:t>
            </w:r>
            <w:r>
              <w:rPr>
                <w:szCs w:val="28"/>
              </w:rPr>
              <w:t xml:space="preserve">ь 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7" w:type="dxa"/>
            <w:vAlign w:val="top"/>
            <w:textDirection w:val="lrTb"/>
            <w:noWrap w:val="false"/>
          </w:tcPr>
          <w:p>
            <w:pPr>
              <w:pStyle w:val="921"/>
              <w:ind w:firstLine="0"/>
              <w:jc w:val="center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    </w:t>
            </w:r>
            <w:r>
              <w:rPr>
                <w:szCs w:val="28"/>
              </w:rPr>
              <w:t xml:space="preserve">                     </w:t>
            </w:r>
            <w:r>
              <w:rPr>
                <w:szCs w:val="28"/>
              </w:rPr>
              <w:t xml:space="preserve">Г.Н. Исатченко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68" w:type="dxa"/>
            <w:vAlign w:val="top"/>
            <w:textDirection w:val="lrTb"/>
            <w:noWrap w:val="false"/>
          </w:tcPr>
          <w:p>
            <w:pPr>
              <w:pStyle w:val="921"/>
              <w:ind w:firstLine="0"/>
              <w:jc w:val="center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577" w:type="dxa"/>
            <w:vAlign w:val="top"/>
            <w:textDirection w:val="lrTb"/>
            <w:noWrap w:val="false"/>
          </w:tcPr>
          <w:p>
            <w:pPr>
              <w:pStyle w:val="921"/>
              <w:ind w:firstLine="0"/>
              <w:jc w:val="righ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6" w:type="dxa"/>
            <w:vAlign w:val="top"/>
            <w:textDirection w:val="lrTb"/>
            <w:noWrap w:val="false"/>
          </w:tcPr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Секретарь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21" w:type="dxa"/>
            <w:vAlign w:val="top"/>
            <w:textDirection w:val="lrTb"/>
            <w:noWrap w:val="false"/>
          </w:tcPr>
          <w:p>
            <w:pPr>
              <w:pStyle w:val="921"/>
              <w:ind w:firstLine="0"/>
              <w:jc w:val="righ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Т.А. Герасимова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46" w:type="dxa"/>
            <w:vAlign w:val="top"/>
            <w:textDirection w:val="lrTb"/>
            <w:noWrap w:val="false"/>
          </w:tcPr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21"/>
              <w:ind w:firstLine="0"/>
              <w:jc w:val="left"/>
              <w:spacing w:line="276" w:lineRule="auto"/>
              <w:rPr>
                <w:szCs w:val="28"/>
              </w:rPr>
              <w:framePr w:hSpace="180" w:wrap="around" w:vAnchor="text" w:hAnchor="text" w:y="1"/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21" w:type="dxa"/>
            <w:vAlign w:val="top"/>
            <w:textDirection w:val="lrTb"/>
            <w:noWrap w:val="false"/>
          </w:tcPr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szCs w:val="28"/>
                <w:lang w:val="en-US"/>
              </w:rPr>
            </w:r>
            <w:r>
              <w:rPr>
                <w:szCs w:val="28"/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lang w:val="en-US"/>
              </w:rPr>
              <w:framePr w:hSpace="180" w:wrap="around" w:vAnchor="text" w:hAnchor="text" w:y="1"/>
            </w:pPr>
            <w:r>
              <w:rPr>
                <w:szCs w:val="28"/>
                <w:lang w:val="en-US"/>
              </w:rPr>
            </w:r>
            <w:r>
              <w:rPr>
                <w:szCs w:val="28"/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909"/>
              <w:jc w:val="center"/>
              <w:keepLines/>
              <w:tabs>
                <w:tab w:val="left" w:pos="709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0"/>
              <w:jc w:val="center"/>
              <w:keepLines/>
              <w:tabs>
                <w:tab w:val="left" w:pos="709" w:leader="none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</w:t>
            </w:r>
            <w:r>
              <w:rPr>
                <w:bCs/>
                <w:sz w:val="28"/>
                <w:szCs w:val="28"/>
              </w:rPr>
              <w:t xml:space="preserve">постановле</w:t>
            </w:r>
            <w:r>
              <w:rPr>
                <w:bCs/>
                <w:sz w:val="28"/>
                <w:szCs w:val="28"/>
              </w:rPr>
              <w:t xml:space="preserve">нию территориальной избирательной комиссии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921"/>
              <w:ind w:firstLine="0"/>
              <w:jc w:val="center"/>
              <w:spacing w:line="240" w:lineRule="auto"/>
              <w:rPr>
                <w:szCs w:val="28"/>
                <w:lang w:val="en-US"/>
              </w:rPr>
              <w:framePr w:hSpace="180" w:wrap="around" w:vAnchor="text" w:hAnchor="text" w:y="1"/>
            </w:pPr>
            <w:r>
              <w:rPr>
                <w:szCs w:val="28"/>
              </w:rPr>
              <w:t xml:space="preserve">от  25</w:t>
            </w:r>
            <w:r>
              <w:rPr>
                <w:szCs w:val="28"/>
              </w:rPr>
              <w:t xml:space="preserve">.0</w:t>
            </w:r>
            <w:r>
              <w:rPr>
                <w:szCs w:val="28"/>
              </w:rPr>
              <w:t xml:space="preserve">6</w:t>
            </w:r>
            <w:r>
              <w:rPr>
                <w:szCs w:val="28"/>
              </w:rPr>
              <w:t xml:space="preserve">.2026</w:t>
            </w:r>
            <w:r>
              <w:rPr>
                <w:szCs w:val="28"/>
              </w:rPr>
              <w:t xml:space="preserve"> года №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 xml:space="preserve">4</w:t>
            </w:r>
            <w:r>
              <w:rPr>
                <w:szCs w:val="28"/>
              </w:rPr>
              <w:t xml:space="preserve">/10</w:t>
            </w:r>
            <w:r>
              <w:rPr>
                <w:szCs w:val="28"/>
              </w:rPr>
              <w:t xml:space="preserve">-6</w:t>
            </w:r>
            <w:r>
              <w:rPr>
                <w:szCs w:val="28"/>
                <w:lang w:val="en-US"/>
              </w:rPr>
            </w:r>
            <w:r>
              <w:rPr>
                <w:szCs w:val="28"/>
                <w:lang w:val="en-US"/>
              </w:rPr>
            </w:r>
          </w:p>
          <w:p>
            <w:pPr>
              <w:pStyle w:val="921"/>
              <w:ind w:firstLine="0"/>
              <w:jc w:val="right"/>
              <w:spacing w:line="276" w:lineRule="auto"/>
              <w:rPr>
                <w:szCs w:val="28"/>
                <w:lang w:val="en-US"/>
              </w:rPr>
              <w:framePr w:hSpace="180" w:wrap="around" w:vAnchor="text" w:hAnchor="text" w:y="1"/>
            </w:pPr>
            <w:r>
              <w:rPr>
                <w:szCs w:val="28"/>
                <w:lang w:val="en-US"/>
              </w:rPr>
            </w:r>
            <w:r>
              <w:rPr>
                <w:szCs w:val="28"/>
                <w:lang w:val="en-US"/>
              </w:rPr>
            </w:r>
            <w:r>
              <w:rPr>
                <w:szCs w:val="28"/>
                <w:lang w:val="en-US"/>
              </w:rPr>
            </w:r>
          </w:p>
        </w:tc>
      </w:tr>
    </w:tbl>
    <w:p>
      <w:pPr>
        <w:spacing w:line="276" w:lineRule="auto"/>
      </w:pPr>
      <w:r/>
      <w:r/>
    </w:p>
    <w:p>
      <w:pPr>
        <w:spacing w:line="276" w:lineRule="auto"/>
      </w:pPr>
      <w:r/>
      <w:r/>
    </w:p>
    <w:p>
      <w:pPr>
        <w:pStyle w:val="909"/>
        <w:spacing w:line="276" w:lineRule="auto"/>
      </w:pPr>
      <w:r/>
      <w:r/>
    </w:p>
    <w:p>
      <w:pPr>
        <w:pStyle w:val="909"/>
        <w:spacing w:line="276" w:lineRule="auto"/>
      </w:pPr>
      <w:r/>
      <w:r/>
    </w:p>
    <w:p>
      <w:pPr>
        <w:pStyle w:val="909"/>
        <w:jc w:val="center"/>
        <w:rPr>
          <w:b/>
          <w:bCs/>
          <w:color w:val="000000"/>
          <w:sz w:val="28"/>
          <w:szCs w:val="28"/>
        </w:rPr>
        <w:outlineLvl w:val="0"/>
      </w:pPr>
      <w:r>
        <w:rPr>
          <w:b/>
          <w:bCs/>
          <w:color w:val="000000"/>
          <w:sz w:val="28"/>
          <w:szCs w:val="28"/>
        </w:rPr>
        <w:t xml:space="preserve">К</w:t>
      </w:r>
      <w:r>
        <w:rPr>
          <w:b/>
          <w:bCs/>
          <w:color w:val="000000"/>
          <w:sz w:val="28"/>
          <w:szCs w:val="28"/>
        </w:rPr>
        <w:t xml:space="preserve">алендарный план мероприятий 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09"/>
        <w:jc w:val="center"/>
        <w:rPr>
          <w:b/>
          <w:sz w:val="28"/>
          <w:szCs w:val="28"/>
        </w:rPr>
        <w:outlineLvl w:val="0"/>
      </w:pPr>
      <w:r>
        <w:rPr>
          <w:b/>
          <w:bCs/>
          <w:color w:val="000000"/>
          <w:sz w:val="28"/>
          <w:szCs w:val="28"/>
        </w:rPr>
        <w:t xml:space="preserve">по подготовке и проведению дополнительных выборов депутатов </w:t>
      </w:r>
      <w:r>
        <w:rPr>
          <w:b/>
          <w:sz w:val="28"/>
          <w:szCs w:val="28"/>
        </w:rPr>
        <w:t xml:space="preserve">Совета депутатов муниципального округа Воротынский Нижегородской области второго созыва по одномандатным избирательным округам №9 и №12 </w:t>
      </w:r>
      <w:r>
        <w:rPr>
          <w:b/>
          <w:sz w:val="28"/>
          <w:szCs w:val="28"/>
        </w:rPr>
        <w:t xml:space="preserve">назначенных на</w:t>
      </w:r>
      <w:r>
        <w:rPr>
          <w:b/>
          <w:sz w:val="28"/>
          <w:szCs w:val="28"/>
        </w:rPr>
        <w:t xml:space="preserve"> 20 сентября 2026</w:t>
      </w:r>
      <w:r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09"/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</w:r>
      <w:r>
        <w:rPr>
          <w:b/>
          <w:bCs/>
          <w:i/>
          <w:color w:val="000000"/>
        </w:rPr>
      </w:r>
      <w:r>
        <w:rPr>
          <w:b/>
          <w:bCs/>
          <w:i/>
          <w:color w:val="000000"/>
        </w:rPr>
      </w:r>
    </w:p>
    <w:p>
      <w:pPr>
        <w:pStyle w:val="909"/>
        <w:jc w:val="right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День голосования – 18,19,20 сентября 2026 года</w:t>
      </w:r>
      <w:r>
        <w:rPr>
          <w:b/>
          <w:bCs/>
          <w:i/>
          <w:color w:val="000000"/>
        </w:rPr>
      </w:r>
      <w:r>
        <w:rPr>
          <w:b/>
          <w:bCs/>
          <w:i/>
          <w:color w:val="000000"/>
        </w:rPr>
      </w:r>
    </w:p>
    <w:p>
      <w:pPr>
        <w:pStyle w:val="920"/>
        <w:ind w:firstLine="540"/>
        <w:jc w:val="both"/>
      </w:pPr>
      <w:r/>
      <w:r/>
    </w:p>
    <w:tbl>
      <w:tblPr>
        <w:tblW w:w="9775" w:type="dxa"/>
        <w:tblInd w:w="-2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833"/>
        <w:gridCol w:w="4592"/>
        <w:gridCol w:w="2041"/>
        <w:gridCol w:w="23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1"/>
          <w:tblHeader/>
        </w:trPr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</w:pPr>
            <w:r>
              <w:t xml:space="preserve">№ п/п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Содержание мероприятий</w:t>
            </w:r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Срок исполнения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Исполнители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775" w:type="dxa"/>
            <w:vAlign w:val="top"/>
            <w:textDirection w:val="lrTb"/>
            <w:noWrap w:val="false"/>
          </w:tcPr>
          <w:p>
            <w:pPr>
              <w:pStyle w:val="920"/>
              <w:jc w:val="center"/>
              <w:outlineLvl w:val="1"/>
            </w:pPr>
            <w:r>
              <w:t xml:space="preserve">НАЗНАЧЕНИЕ ВЫБОРОВ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09"/>
              <w:jc w:val="both"/>
            </w:pPr>
            <w:r>
              <w:t xml:space="preserve">Назначение выборов </w:t>
            </w:r>
            <w:r/>
          </w:p>
          <w:p>
            <w:pPr>
              <w:pStyle w:val="909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5 ст. 6 Закона Нижегородской области № 108-З</w:t>
            </w:r>
            <w:r>
              <w:rPr>
                <w:i/>
              </w:rPr>
              <w:t xml:space="preserve"> «О выборах депутатов представительных органов муниципальных образований в Нижегородской области» (далее – Закон области № 108-З)</w:t>
            </w:r>
            <w:r>
              <w:rPr>
                <w:i/>
              </w:rPr>
              <w:t xml:space="preserve">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не ранее чем за 90 дней и не позднее чем за 80 дней до дня голосования</w:t>
            </w:r>
            <w:r/>
          </w:p>
          <w:p>
            <w:pPr>
              <w:pStyle w:val="909"/>
              <w:jc w:val="center"/>
            </w:pPr>
            <w:r/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представительный орган муниципального образования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09"/>
              <w:jc w:val="both"/>
            </w:pPr>
            <w:r>
              <w:t xml:space="preserve">Официальное опубликование решения о назначении выборов в средствах массовой информации</w:t>
            </w:r>
            <w:r/>
          </w:p>
          <w:p>
            <w:pPr>
              <w:pStyle w:val="909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5 ст. 6 Закона области 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н</w:t>
            </w:r>
            <w:r>
              <w:t xml:space="preserve">е позднее чем через пять дней со дня его принятия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представительный орган муниципального образования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09"/>
              <w:jc w:val="both"/>
            </w:pPr>
            <w:r>
              <w:t xml:space="preserve">Назначение выборов </w:t>
            </w:r>
            <w:r>
              <w:t xml:space="preserve">избирательной комиссией, организующей выборы,</w:t>
            </w:r>
            <w:r>
              <w:t xml:space="preserve"> в случае неназначения их представительным органом муниципального образования</w:t>
            </w:r>
            <w:r/>
          </w:p>
          <w:p>
            <w:pPr>
              <w:pStyle w:val="909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6 ст. 6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н</w:t>
            </w:r>
            <w:r>
              <w:t xml:space="preserve">е позднее 11 июля 2026 года</w:t>
            </w:r>
            <w:r/>
          </w:p>
          <w:p>
            <w:pPr>
              <w:pStyle w:val="909"/>
              <w:jc w:val="center"/>
            </w:pPr>
            <w:r/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09"/>
              <w:jc w:val="both"/>
            </w:pPr>
            <w:r>
              <w:t xml:space="preserve">Официальное опубликование решения о назначении выборов в средствах массовой информации (в случае назначения выборов </w:t>
            </w:r>
            <w:r>
              <w:t xml:space="preserve">избирательной комиссией, организующей выборы</w:t>
            </w:r>
            <w:r>
              <w:t xml:space="preserve">)</w:t>
            </w:r>
            <w:r/>
          </w:p>
          <w:p>
            <w:pPr>
              <w:pStyle w:val="909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6 ст. 6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н</w:t>
            </w:r>
            <w:r>
              <w:t xml:space="preserve">е позднее 13 июля 2026 года</w:t>
            </w:r>
            <w:r/>
          </w:p>
          <w:p>
            <w:pPr>
              <w:pStyle w:val="909"/>
              <w:jc w:val="center"/>
            </w:pPr>
            <w:r/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775" w:type="dxa"/>
            <w:vAlign w:val="top"/>
            <w:textDirection w:val="lrTb"/>
            <w:noWrap w:val="false"/>
          </w:tcPr>
          <w:p>
            <w:pPr>
              <w:pStyle w:val="920"/>
              <w:ind w:left="709" w:firstLine="0"/>
              <w:jc w:val="left"/>
              <w:outlineLvl w:val="1"/>
            </w:pPr>
            <w:r>
              <w:t xml:space="preserve">                                      СПИСКИ ИЗБИРАТЕЛЕЙ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     5.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сведений об избирателях в избирательную комиссию, организующую выборы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5 ст. 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сразу после назначения  дня голосования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уполномоченные должностные лица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     6.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Составление списка избирателей и передача первого экземпляра списка избирателей в участковые избирательные комиссии (далее - УИК)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11 ст. 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</w:t>
            </w:r>
            <w:r/>
          </w:p>
          <w:p>
            <w:pPr>
              <w:pStyle w:val="920"/>
              <w:jc w:val="center"/>
            </w:pPr>
            <w:r>
              <w:t xml:space="preserve">9 сентября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территориальная избирательная комиссия (далее – ТИК)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     7.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списков избирателей для ознакомления избирателей и дополнительного уточнения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13 ст. 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 9 сентября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УИК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ffffff"/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     8.</w:t>
            </w:r>
            <w:r/>
          </w:p>
        </w:tc>
        <w:tc>
          <w:tcPr>
            <w:shd w:val="clear" w:color="auto" w:fill="ffffff"/>
            <w:tcW w:w="4592" w:type="dxa"/>
            <w:vAlign w:val="top"/>
            <w:textDirection w:val="lrTb"/>
            <w:noWrap w:val="false"/>
          </w:tcPr>
          <w:p>
            <w:pPr>
              <w:pStyle w:val="909"/>
              <w:jc w:val="both"/>
            </w:pPr>
            <w:r>
              <w:t xml:space="preserve">Включение в список избирателей, находящихся в день голосования в местах временного пребывания, работающих на предприятиях с непреры</w:t>
            </w:r>
            <w:r>
              <w:t xml:space="preserve">вным циклом работы и занятых на отдельных видах работ, где невозможно уменьшение продолжительности работы (смены), а также избирателей из числа военнослужащих, находящихся вне места расположения воинской части, на основании их личного письменного заявления</w:t>
            </w:r>
            <w:r/>
          </w:p>
          <w:p>
            <w:pPr>
              <w:pStyle w:val="909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15 ст. 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auto" w:fill="ffffff"/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/>
            <w:r/>
          </w:p>
          <w:p>
            <w:pPr>
              <w:pStyle w:val="920"/>
              <w:jc w:val="center"/>
            </w:pPr>
            <w:r/>
            <w:r/>
          </w:p>
          <w:p>
            <w:pPr>
              <w:pStyle w:val="920"/>
              <w:jc w:val="center"/>
            </w:pPr>
            <w:r>
              <w:t xml:space="preserve">не позднее </w:t>
            </w:r>
            <w:r/>
          </w:p>
          <w:p>
            <w:pPr>
              <w:pStyle w:val="920"/>
              <w:jc w:val="center"/>
            </w:pPr>
            <w:r>
              <w:t xml:space="preserve">14 сентября 2026 года</w:t>
            </w:r>
            <w:r/>
          </w:p>
        </w:tc>
        <w:tc>
          <w:tcPr>
            <w:shd w:val="clear" w:color="auto" w:fill="ffffff"/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УИК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ffffff"/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     9.</w:t>
            </w:r>
            <w:r/>
          </w:p>
        </w:tc>
        <w:tc>
          <w:tcPr>
            <w:shd w:val="clear" w:color="auto" w:fill="ffffff"/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Подписание выверенных и уточненных списков избирателей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12 ст. 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auto" w:fill="ffffff"/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</w:t>
            </w:r>
            <w:r/>
          </w:p>
          <w:p>
            <w:pPr>
              <w:pStyle w:val="920"/>
              <w:jc w:val="center"/>
            </w:pPr>
            <w:r>
              <w:t xml:space="preserve">17</w:t>
            </w:r>
            <w:r>
              <w:t xml:space="preserve"> сентября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shd w:val="clear" w:color="auto" w:fill="ffffff"/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председатель и секретарь УИК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775" w:type="dxa"/>
            <w:vAlign w:val="top"/>
            <w:textDirection w:val="lrTb"/>
            <w:noWrap w:val="false"/>
          </w:tcPr>
          <w:p>
            <w:pPr>
              <w:pStyle w:val="920"/>
              <w:ind w:left="709" w:firstLine="0"/>
              <w:jc w:val="left"/>
              <w:outlineLvl w:val="1"/>
            </w:pPr>
            <w:r>
              <w:t xml:space="preserve">                                        ИЗБИРАТЕЛЬНЫЕ УЧАСТКИ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   10.</w:t>
            </w:r>
            <w:r/>
          </w:p>
          <w:p>
            <w:pPr>
              <w:pStyle w:val="909"/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Принятие решения об уточнении перечня избирательных участков и (или) их границ (при необходимости)</w:t>
            </w:r>
            <w:r/>
          </w:p>
          <w:p>
            <w:pPr>
              <w:pStyle w:val="909"/>
              <w:jc w:val="both"/>
              <w:rPr>
                <w:i/>
              </w:rPr>
            </w:pPr>
            <w:r>
              <w:rPr>
                <w:i/>
              </w:rPr>
              <w:t xml:space="preserve">(ч.1 ст.14 Федерального закона 22.02.2014 № 20-ФЗ «О выборах депутатов Государственной Думы Федерального Собрания Российской Федерации» (далее-Федеральный закон № 20-ФЗ</w:t>
            </w:r>
            <w:r>
              <w:rPr>
                <w:i/>
                <w:iCs/>
              </w:rPr>
              <w:t xml:space="preserve">))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10 дней со дня официального опубликования решения о назначении выборов депутатов Государственной Думы Федерального Собрания Российской Федерации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глава администрации муниципального </w:t>
            </w:r>
            <w:r>
              <w:t xml:space="preserve">округа</w:t>
            </w:r>
            <w:r>
              <w:t xml:space="preserve"> по согласованию с ТИК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5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Публикация уточненных списков избирательных участков с указанием их границ (если избирательный участок образова</w:t>
            </w:r>
            <w:r>
              <w:t xml:space="preserve">н на части территории населенного пункта) либо перечня населенных пунктов (если избирательный участок образован на территориях одного или нескольких населенных пунктов), номеров, мест нахождения участковых избирательных комиссий и помещений для голосования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(ч. 1 ст. 15 Федерального закона № 20-ФЗ</w:t>
            </w:r>
            <w:r>
              <w:rPr>
                <w:i/>
              </w:rPr>
              <w:t xml:space="preserve">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29 июля 2024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глава администрации муниципального </w:t>
            </w:r>
            <w:r>
              <w:t xml:space="preserve">округа, </w:t>
            </w:r>
            <w:r>
              <w:t xml:space="preserve">городского округа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6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Определение из</w:t>
            </w:r>
            <w:r>
              <w:t xml:space="preserve">бирательных участков, для которых будут изготовлены специальные трафареты для бюллетеней, в том числе с применением шрифта Брайля, а также информационные материалы, выполненные крупным шрифтом и (или) шрифтом Брайля для лиц, являющихся инвалидами по зрению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7</w:t>
            </w:r>
            <w:r>
              <w:rPr>
                <w:i/>
                <w:vertAlign w:val="superscript"/>
              </w:rPr>
              <w:t xml:space="preserve">1</w:t>
            </w:r>
            <w:r>
              <w:rPr>
                <w:i/>
              </w:rPr>
              <w:t xml:space="preserve"> ст. 60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срок, определенный </w:t>
            </w:r>
            <w:r>
              <w:t xml:space="preserve">избирательной комиссией, организующей выборы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775" w:type="dxa"/>
            <w:vAlign w:val="top"/>
            <w:textDirection w:val="lrTb"/>
            <w:noWrap w:val="false"/>
          </w:tcPr>
          <w:p>
            <w:pPr>
              <w:pStyle w:val="920"/>
              <w:ind w:left="0" w:firstLine="0"/>
              <w:jc w:val="left"/>
              <w:outlineLvl w:val="1"/>
            </w:pPr>
            <w:r>
              <w:t xml:space="preserve">                                             ИЗБИРАТЕЛЬНЫЕ КОМИССИИ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  <w:tabs>
                <w:tab w:val="num" w:pos="720" w:leader="none"/>
                <w:tab w:val="clear" w:pos="786" w:leader="none"/>
              </w:tabs>
            </w:pPr>
            <w:r>
              <w:t xml:space="preserve">9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Принятие решения о возложении полномочий окружных избирательных комиссий </w:t>
            </w:r>
            <w:r>
              <w:t xml:space="preserve">(далее – ОИК)</w:t>
            </w:r>
            <w:r>
              <w:t xml:space="preserve"> на избирательную комиссию, организующую выборы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 (ч.2 ст.9 Закона № 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16 июля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  <w:tabs>
                <w:tab w:val="num" w:pos="720" w:leader="none"/>
                <w:tab w:val="clear" w:pos="786" w:leader="none"/>
              </w:tabs>
            </w:pPr>
            <w:r>
              <w:t xml:space="preserve">9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i/>
              </w:rPr>
            </w:pPr>
            <w:r>
              <w:t xml:space="preserve">Сбор предложений для дополнительного зачисления кандидатур в резерв составов УИК (за исключением городских и муниципальных округов, где проводятся дополнительные выборы) (</w:t>
            </w:r>
            <w:r>
              <w:rPr>
                <w:i/>
              </w:rPr>
              <w:t xml:space="preserve">п.12 Постановления ЦИК России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(далее – постановление ЦИК России № 152/1137-6)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срока, установленного избирательной комиссией Нижегородской области (далее – ИКНО), в период с 31 июля по 20 августа 2026 года 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ТИК на основании решения ИКНО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  <w:tabs>
                <w:tab w:val="num" w:pos="720" w:leader="none"/>
                <w:tab w:val="clear" w:pos="786" w:leader="none"/>
              </w:tabs>
            </w:pPr>
            <w:r>
              <w:t xml:space="preserve">9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Направление в ИКНО решений о предложении кандидатур для дополнительного зачисления в резерв составов участковых комиссий</w:t>
            </w:r>
            <w:r/>
          </w:p>
          <w:p>
            <w:pPr>
              <w:pStyle w:val="920"/>
              <w:jc w:val="both"/>
            </w:pPr>
            <w:r>
              <w:t xml:space="preserve">(</w:t>
            </w:r>
            <w:r>
              <w:rPr>
                <w:i/>
              </w:rPr>
              <w:t xml:space="preserve">п. 21 постановления ЦИК России № 152/1137-6)</w:t>
            </w:r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5 дней со дня окончания срока приема предложений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ТИК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  <w:tabs>
                <w:tab w:val="num" w:pos="720" w:leader="none"/>
                <w:tab w:val="clear" w:pos="786" w:leader="none"/>
              </w:tabs>
            </w:pPr>
            <w:r>
              <w:t xml:space="preserve">9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Принятие решений о дополнительном зачислении кандидатур в резерв составов УИК</w:t>
            </w:r>
            <w:r/>
          </w:p>
          <w:p>
            <w:pPr>
              <w:pStyle w:val="920"/>
              <w:jc w:val="both"/>
            </w:pPr>
            <w:r>
              <w:t xml:space="preserve">(</w:t>
            </w:r>
            <w:r>
              <w:rPr>
                <w:i/>
              </w:rPr>
              <w:t xml:space="preserve">п. 22 постановления ЦИК России № 152/1137-6)</w:t>
            </w:r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15 дней со дня окончания срока приема предложений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ИКНО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775" w:type="dxa"/>
            <w:vAlign w:val="top"/>
            <w:textDirection w:val="lrTb"/>
            <w:noWrap w:val="false"/>
          </w:tcPr>
          <w:p>
            <w:pPr>
              <w:pStyle w:val="920"/>
              <w:ind w:left="709" w:firstLine="0"/>
              <w:jc w:val="left"/>
              <w:outlineLvl w:val="1"/>
            </w:pPr>
            <w:r>
              <w:t xml:space="preserve">                      ВЫДВИЖЕНИЕ И РЕГИСТРАЦИЯ КАНДИДАТОВ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Подготовка и направление в ИКНО списка избирательных объединений, имеющих право принимать участие в выборах, по состоянию на день официального опубликования решения о назначении выборов для незамедлительного направления его в </w:t>
            </w:r>
            <w:r>
              <w:t xml:space="preserve">избирательную комиссию, организующую выборы</w:t>
            </w:r>
            <w:r>
              <w:t xml:space="preserve">, а также его размещение в сети Интернет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3 ст. 22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3 дня со дня официального опубликования решения о назначении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Главное управление Министерства юстиции РФ по Нижегородской области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Выдвижение кандидатов в одномандатных избирательных округах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8 ст. 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дня официального опубликования решения о назначении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самовыдвижение, избирательн</w:t>
            </w:r>
            <w:r>
              <w:t xml:space="preserve">ые объединения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0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Извещение избирательной комиссии, организующей выборы, о проведении мероприятий, связанных с выдвижением кандидатов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(п. «в» ч. 1 ст. 27 Федерального закона № 95-ФЗ «О политических партиях»)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  <w:p>
            <w:pPr>
              <w:pStyle w:val="909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не позднее чем за один день до дня </w:t>
            </w:r>
            <w:r>
              <w:rPr>
                <w:color w:val="000000"/>
                <w:sz w:val="22"/>
                <w:szCs w:val="22"/>
              </w:rPr>
              <w:t xml:space="preserve">проведения мероприятия при его проведении в пределах населенного пункта, где</w:t>
            </w:r>
            <w:r>
              <w:rPr>
                <w:color w:val="000000"/>
                <w:sz w:val="22"/>
                <w:szCs w:val="22"/>
              </w:rPr>
              <w:t xml:space="preserve"> расположена избирательная комиссия, организующая выборы, и не позднее чем за три дня до дня проведения мероприятия при его проведении за пределами населенного пункта, где расположена избирательная комиссия, организующая выборы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избирательные объединения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Уведомление ОИК о выдвижении кандидата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1 ст. 27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ранее 16 июля 2026 года </w:t>
            </w:r>
            <w:r/>
          </w:p>
          <w:p>
            <w:pPr>
              <w:pStyle w:val="92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лицо, выдвинутое в качестве кандидата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Принятие решения о заверении списка кандидатов </w:t>
            </w:r>
            <w:r>
              <w:t xml:space="preserve">по одномандатным избирательным округам </w:t>
            </w:r>
            <w:r>
              <w:t xml:space="preserve">либо об отказе в заверении списка кандидатов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5</w:t>
            </w:r>
            <w:r>
              <w:rPr>
                <w:i/>
                <w:vertAlign w:val="superscript"/>
              </w:rPr>
              <w:t xml:space="preserve">1</w:t>
            </w:r>
            <w:r>
              <w:rPr>
                <w:i/>
              </w:rPr>
              <w:t xml:space="preserve"> ст. 27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трех дней со дня приема документов, </w:t>
            </w:r>
            <w:r>
              <w:t xml:space="preserve">указанных в части 5 статьи 27 Закона</w:t>
            </w:r>
            <w:r>
              <w:t xml:space="preserve"> </w:t>
            </w:r>
            <w:r>
              <w:t xml:space="preserve">области № 108-З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1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Выдача уполномоченному представителю избирательного объединения решения о заверении списка кандидатов </w:t>
            </w:r>
            <w:r>
              <w:t xml:space="preserve">по одномандатным избирательным округам </w:t>
            </w:r>
            <w:r>
              <w:t xml:space="preserve">с копией заверенного списка либо об отказе в его заверении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5</w:t>
            </w:r>
            <w:r>
              <w:rPr>
                <w:i/>
                <w:vertAlign w:val="superscript"/>
              </w:rPr>
              <w:t xml:space="preserve">3</w:t>
            </w:r>
            <w:r>
              <w:rPr>
                <w:i/>
              </w:rPr>
              <w:t xml:space="preserve"> ст. 27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одних суток с момента принятия соответствующего решения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1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Направление в ОИК решения о заверении списка кандидатов с ко</w:t>
            </w:r>
            <w:r>
              <w:t xml:space="preserve">пией заверенного списка, копиями заявлений кандидатов о согласии баллотироваться и копиями документов, подтверждающих сведения о принадлежности кандидатов к политической партии, иному общественному объединению (в случае представления указанных документов) </w:t>
            </w:r>
            <w:r/>
          </w:p>
          <w:p>
            <w:pPr>
              <w:pStyle w:val="920"/>
              <w:jc w:val="both"/>
              <w:rPr>
                <w:i/>
                <w:strike/>
              </w:rPr>
            </w:pPr>
            <w:r>
              <w:rPr>
                <w:i/>
              </w:rPr>
              <w:t xml:space="preserve"> (п. 14.3 ст. 35 Федерального закона № 67-ФЗ, ч.5</w:t>
            </w:r>
            <w:r>
              <w:rPr>
                <w:i/>
                <w:vertAlign w:val="superscript"/>
              </w:rPr>
              <w:t xml:space="preserve">3 </w:t>
            </w:r>
            <w:r>
              <w:rPr>
                <w:i/>
                <w:vertAlign w:val="baseline"/>
              </w:rPr>
              <w:t xml:space="preserve"> стю27 Закона области №108-З</w:t>
            </w:r>
            <w:r>
              <w:rPr>
                <w:i/>
              </w:rPr>
              <w:t xml:space="preserve">)</w:t>
            </w:r>
            <w:r>
              <w:rPr>
                <w:i/>
                <w:strike/>
              </w:rPr>
            </w:r>
            <w:r>
              <w:rPr>
                <w:i/>
                <w:strike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одних суток с момента принятия соответствующего решения</w:t>
            </w:r>
            <w:r>
              <w:t xml:space="preserve">, но не ранее 16 июля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ffffff"/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shd w:val="clear" w:color="auto" w:fill="ffffff"/>
            <w:tcW w:w="4592" w:type="dxa"/>
            <w:vAlign w:val="top"/>
            <w:textDirection w:val="lrTb"/>
            <w:noWrap w:val="false"/>
          </w:tcPr>
          <w:p>
            <w:pPr>
              <w:pStyle w:val="9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кандидатом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ОИК  документов,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  в  </w:t>
            </w:r>
            <w:r>
              <w:fldChar w:fldCharType="begin"/>
            </w:r>
            <w:r>
              <w:instrText xml:space="preserve">HYPERLINK "consultantplus://offline/ref=D8C8E166650AE1ACEDB4E5F0226419BC893FA69F921A763C7E31FAD1588756CF26BC6E59366FA0AD21EAC43D25916DE42F11B066D80984BDFAE27847GD21K"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частях 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HYPERLINK "consultantplus://offline/ref=D8C8E166650AE1ACEDB4E5F0226419BC893FA69F921A763C7E31FAD1588756CF26BC6E59366FA0AD21E9C73524916DE42F11B066D80984BDFAE27847GD21K"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статьи 27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Нижегоро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области   "О  выборах  депутатов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представительных       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   образований 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Нижегородской области"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 (ч. 5</w:t>
            </w:r>
            <w:r>
              <w:rPr>
                <w:i/>
                <w:vertAlign w:val="superscript"/>
              </w:rPr>
              <w:t xml:space="preserve">3</w:t>
            </w:r>
            <w:r>
              <w:rPr>
                <w:i/>
              </w:rPr>
              <w:t xml:space="preserve"> ст. 27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заверения списка кандидатов</w:t>
            </w:r>
            <w:r>
              <w:t xml:space="preserve">, но не ранее 16 июля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кандидат, включенный в заверенный список кандидатов</w:t>
            </w:r>
            <w:r>
              <w:t xml:space="preserve"> по одномандатным избирательным округам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По обращению ОИК проверка достоверности сведений, представленных кандидатами, и сообщение ей о результатах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11 ст. 27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в течение 10 дней (</w:t>
            </w:r>
            <w:r>
              <w:t xml:space="preserve">сведений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счетах, вкладах в банках, о ценных бумагах</w:t>
            </w:r>
            <w:r/>
          </w:p>
          <w:p>
            <w:pPr>
              <w:pStyle w:val="920"/>
              <w:jc w:val="center"/>
            </w:pPr>
            <w:r>
              <w:t xml:space="preserve">- в течение 20 дней)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проверяющие </w:t>
            </w:r>
            <w:r>
              <w:t xml:space="preserve">органы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Информирование избирателей о сведениях о кандидатах, представленных при их выдвижении, направление в СМИ информации о выявленных фактах недостоверности представленных сведений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10 ст. 27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 мере получения информации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Принятие решения об определении  количества подписей избирателей, необходимого для регистрации кандидатов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3 ст. 29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официального опубликования решения о назначении выборов и не позднее 15 июля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10"/>
              <w:jc w:val="both"/>
              <w:keepNext w:val="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Утверждение образца</w:t>
            </w:r>
            <w:r>
              <w:rPr>
                <w:b w:val="0"/>
                <w:bCs/>
                <w:sz w:val="24"/>
                <w:szCs w:val="24"/>
              </w:rPr>
              <w:t xml:space="preserve"> заполнения   подписного листа в  части,  касающейся  указания наименования    представительного органа   муниципального образования, наименования    Нижегородской    области,    муниципального образования, наименования и (или) номера избирательного округа</w:t>
            </w:r>
            <w:r>
              <w:rPr>
                <w:b w:val="0"/>
                <w:bCs/>
                <w:sz w:val="24"/>
                <w:szCs w:val="24"/>
              </w:rPr>
            </w:r>
            <w:r>
              <w:rPr>
                <w:b w:val="0"/>
                <w:bCs/>
                <w:sz w:val="24"/>
                <w:szCs w:val="24"/>
              </w:rPr>
            </w:r>
          </w:p>
          <w:p>
            <w:pPr>
              <w:pStyle w:val="909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5</w:t>
            </w:r>
            <w:r>
              <w:rPr>
                <w:i/>
                <w:vertAlign w:val="superscript"/>
              </w:rPr>
              <w:t xml:space="preserve">1</w:t>
            </w:r>
            <w:r>
              <w:rPr>
                <w:i/>
              </w:rPr>
              <w:t xml:space="preserve"> ст. 29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официального опубликования решения о назначении выборов и не позднее 15</w:t>
            </w:r>
            <w:r>
              <w:t xml:space="preserve"> июля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Сбор подписей в поддержку кандидата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29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со дня, следующего за днем уведомления комиссии о выдвижении кандидата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дееспособные граждане РФ, достигшие к моменту сбора подписей возраста 18 лет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в ОИК документов для регистрации кандидата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32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 </w:t>
            </w:r>
            <w:r>
              <w:t xml:space="preserve">до 18.00 часов 5 августа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кандидат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Извещение кандидата о выявлении неполноты сведений, об отсутствии каких-либо документов или несоблюдении требований к оформлению документов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3 ст. 33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за 3 дня до дня заседания ОИК, на котором рассматривается вопрос о регистрации кандидата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Передача кандидату копии протокола об итогах проверки подписных листов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14 ст. 33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менее</w:t>
            </w:r>
            <w:r>
              <w:t xml:space="preserve"> чем за двое суток до заседания ОИК, на котором рассматривается вопрос о регистрации кандидата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Реализация права кандидата на внесение уточнений и дополнений в представленные им документы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3 ст. 33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за один день до дня заседания ОИК, на котором рассматривается вопрос о регистрации кандидата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кандидат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Принятие решения о регистрации кандидата либо об отказе в регистрации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34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10 дней со дня приема документов, необходимых для регистрации кандидата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>
              <w:t xml:space="preserve">2</w:t>
            </w:r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Выдача кандидату копии решения об отказе в регистрации с изложением оснований отказа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7 ст. 34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одних суток с момента принятия решения об отказе в регистрации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775" w:type="dxa"/>
            <w:vAlign w:val="top"/>
            <w:textDirection w:val="lrTb"/>
            <w:noWrap w:val="false"/>
          </w:tcPr>
          <w:p>
            <w:pPr>
              <w:pStyle w:val="920"/>
              <w:ind w:left="709" w:firstLine="0"/>
              <w:jc w:val="left"/>
              <w:outlineLvl w:val="1"/>
            </w:pPr>
            <w:r>
              <w:t xml:space="preserve">                                           СТАТУС КАНДИДАТА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зарегистрированным кандидатом в ОИК заверенной копии приказа (распоряжения) об освобождении от выполнения должностных или служебных обязанностей на время его участия в выборах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36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5 дней со дня регистрации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зарегистрированные кандидаты, находящиеся на государственной или муниципальной службе либо работающие в организациях, осуществляющих выпуск СМИ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Назначение доверенных лиц 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 ст. 38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выдвижения кандидат</w:t>
            </w:r>
            <w:r>
              <w:t xml:space="preserve">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</w:t>
            </w:r>
            <w:r>
              <w:t xml:space="preserve">андидат</w:t>
            </w:r>
            <w:r>
              <w:t xml:space="preserve">, избирательное объединение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Регистрация доверенных лиц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 ст. 38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5 дней со дня поступления письменного заявления кандидата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Право снятия зарегистрированным кандидатом своей кандидатуры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1 ст. 39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</w:pPr>
            <w:r>
              <w:rPr>
                <w:i/>
              </w:rPr>
            </w:r>
            <w:r/>
          </w:p>
          <w:p>
            <w:pPr>
              <w:pStyle w:val="920"/>
              <w:jc w:val="both"/>
            </w:pPr>
            <w:r/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1</w:t>
            </w:r>
            <w:r>
              <w:t xml:space="preserve">2 </w:t>
            </w:r>
            <w:r>
              <w:t xml:space="preserve">сентября </w:t>
            </w:r>
            <w:r>
              <w:t xml:space="preserve">2026</w:t>
            </w:r>
            <w:r>
              <w:t xml:space="preserve"> года, а при наличии вынуждающих к тому обстоятельств - не позднее 1</w:t>
            </w:r>
            <w:r>
              <w:t xml:space="preserve">6 </w:t>
            </w:r>
            <w:r>
              <w:t xml:space="preserve">сентября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зарегистрированный кандидат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Право отзыва избирательным объединением выдвинутого им кандидата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3 ст. 39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1</w:t>
            </w:r>
            <w:r>
              <w:t xml:space="preserve">2 сентября</w:t>
            </w:r>
            <w:r>
              <w:t xml:space="preserve">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избирательное объединение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списка назначенных наблюдателей в </w:t>
            </w:r>
            <w:r>
              <w:t xml:space="preserve">избирательную комиссию, организующую выборы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7</w:t>
            </w:r>
            <w:r>
              <w:rPr>
                <w:i/>
                <w:vertAlign w:val="superscript"/>
              </w:rPr>
              <w:t xml:space="preserve">1</w:t>
            </w:r>
            <w:r>
              <w:rPr>
                <w:i/>
              </w:rPr>
              <w:t xml:space="preserve"> ст. 21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</w:t>
            </w:r>
            <w:r/>
          </w:p>
          <w:p>
            <w:pPr>
              <w:pStyle w:val="920"/>
              <w:jc w:val="center"/>
            </w:pPr>
            <w:r>
              <w:t xml:space="preserve">14 сентября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избирательное объединение, </w:t>
            </w:r>
            <w:r>
              <w:t xml:space="preserve">выдвинувшее зарегистрированного кандидата, </w:t>
            </w:r>
            <w:r>
              <w:t xml:space="preserve">зарегистрированный кандидат, Общественная палата Российской Федерации, Общественная палата Нижегородской области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наблюдателем направления в </w:t>
            </w:r>
            <w:r>
              <w:t xml:space="preserve">избирательную комиссию, в которую он назначен 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8 ст. 21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10"/>
              <w:jc w:val="center"/>
              <w:keepNext w:val="0"/>
              <w:rPr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 xml:space="preserve">17 -  20 сентября 2026 года</w:t>
            </w:r>
            <w:r>
              <w:rPr>
                <w:b w:val="0"/>
                <w:bCs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наблюдатель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775" w:type="dxa"/>
            <w:vAlign w:val="top"/>
            <w:textDirection w:val="lrTb"/>
            <w:noWrap w:val="false"/>
          </w:tcPr>
          <w:p>
            <w:pPr>
              <w:pStyle w:val="920"/>
              <w:ind w:left="709" w:firstLine="0"/>
              <w:jc w:val="left"/>
              <w:outlineLvl w:val="1"/>
            </w:pPr>
            <w:r>
              <w:t xml:space="preserve"> ИНФОРМИРОВАНИЕ ИЗБИРАТЕЛЕЙ И ПРЕДВЫБОРНАЯ АГИТАЦИЯ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в Управление Роскомнадзора по Приволжскому федеральному округу списка организаций телерадиовещания и периодических печатных изданий, указанных в </w:t>
            </w:r>
            <w:r>
              <w:fldChar w:fldCharType="begin"/>
            </w:r>
            <w:r>
              <w:instrText xml:space="preserve">HYPERLINK "consultantplus://offline/ref=D8C8E166650AE1ACEDB4E5F0226419BC893FA69F921A763C7E31FAD1588756CF26BC6E59366FA0AD21E9C23521916DE42F11B066D80984BDFAE27847GD21K"</w:instrText>
            </w:r>
            <w:r>
              <w:fldChar w:fldCharType="separate"/>
            </w:r>
            <w:r>
              <w:t xml:space="preserve">части 3 статьи 43</w:t>
            </w:r>
            <w:r>
              <w:fldChar w:fldCharType="end"/>
            </w:r>
            <w:r>
              <w:t xml:space="preserve"> Закона области "О выборах депутатов представительных органов муниципальных образований в Нижегородской области"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8 ст. 43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на пятый день после официального опубликования решения о назначении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органы местного самоуправления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перечня муниципальных организаций телерадиовещания и муниципальных периодических печатных изданий в ИКНО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7 ст. 43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на десятый день после официального опубликования решения о назначении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Управление Роскомнадзора по Приволжскому федеральному округу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Публикация перечня муниципальных организаций телерадиовещания и муниципальных периодических печатных изданий, направленного в </w:t>
            </w:r>
            <w:r>
              <w:t xml:space="preserve">избирательные комиссии, организующие выборы, </w:t>
            </w:r>
            <w:r>
              <w:t xml:space="preserve"> избирательной комиссией Нижегородской области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6 ст. 43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на пятнадцатый день после официа</w:t>
            </w:r>
            <w:r>
              <w:t xml:space="preserve">льного опубликования решения о назначении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>
              <w:t xml:space="preserve"> по представлению Управления Роскомнадзора по Приволжскому федеральному округу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Агитационный период для кандид</w:t>
            </w:r>
            <w:r>
              <w:t xml:space="preserve">ата (кроме предвыборной агитации </w:t>
            </w:r>
            <w:r>
              <w:t xml:space="preserve">в периодических печатных изданиях и в сетевых изданиях)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 ст. 45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со дня </w:t>
            </w:r>
            <w:r>
              <w:t xml:space="preserve">представления кандидатом в ОИК заявления о согласии баллотироваться, а в случае, предусмотренном ч.5.3 ст.27 Закона области, – со дня представления кандидатом в ОИК документов, предусмотренных указанным пунктом, </w:t>
            </w:r>
            <w:r>
              <w:t xml:space="preserve">до 0 часов </w:t>
            </w:r>
            <w:r/>
          </w:p>
          <w:p>
            <w:pPr>
              <w:pStyle w:val="920"/>
              <w:jc w:val="center"/>
            </w:pPr>
            <w:r>
              <w:t xml:space="preserve">18 </w:t>
            </w:r>
            <w:r>
              <w:t xml:space="preserve">сентября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кандидаты, их доверенные лица, иные лица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Предвыборная агитация, в периодических печатных изданиях и в сетевых изданиях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45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 22</w:t>
            </w:r>
            <w:r>
              <w:t xml:space="preserve"> </w:t>
            </w:r>
            <w:r>
              <w:t xml:space="preserve">августа </w:t>
            </w:r>
            <w:r>
              <w:t xml:space="preserve">2026 года до 0 часов 18 </w:t>
            </w:r>
            <w:r>
              <w:t xml:space="preserve">сентября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граждане РФ, зарегистрированные кандидаты, иные лица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Опубликование сведений о размере и других условиях оплаты печатной площади, услуг по размещению агитационных материалов и предоставление этих сведений в </w:t>
            </w:r>
            <w:r>
              <w:t xml:space="preserve">избирательную комиссию, организующую выборы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5 ст. 46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30 дней со дня официального опубликования решения о назначении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 редакции периодических печатных изданий, сетевых изданий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Опубликование сведений о размере и других условиях оплаты работ или услуг организаций, индивидуальных предпринимателей, выполняющих работы или оказывающих услуги по изготовлению печатных агитационных материалов, и предоставление их в </w:t>
            </w:r>
            <w:r>
              <w:t xml:space="preserve">избирательную комиссию, организующую выборы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5 ст. 46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</w:pPr>
            <w:r/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30 дней со дня официального опубликования решения о назначении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организация, индивидуальный предприниматель, выполняющие работы или оказывающие услуги по изготовлению печатных агитационных материалов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shd w:val="clear" w:color="auto" w:fill="ffffff"/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shd w:val="clear" w:color="auto" w:fill="ffffff"/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Подача заявки на аккредитацию представителей средств массовой информации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(ч. 11</w:t>
            </w:r>
            <w:r>
              <w:rPr>
                <w:i/>
                <w:vertAlign w:val="superscript"/>
              </w:rPr>
              <w:t xml:space="preserve">2</w:t>
            </w:r>
            <w:r>
              <w:rPr>
                <w:i/>
              </w:rPr>
              <w:t xml:space="preserve"> ст. 21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auto" w:fill="ffffff"/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10</w:t>
            </w:r>
            <w:r>
              <w:t xml:space="preserve"> сентября 2026 года</w:t>
            </w:r>
            <w:r/>
          </w:p>
          <w:p>
            <w:pPr>
              <w:pStyle w:val="920"/>
              <w:jc w:val="center"/>
            </w:pPr>
            <w:r/>
            <w:r/>
          </w:p>
        </w:tc>
        <w:tc>
          <w:tcPr>
            <w:shd w:val="clear" w:color="auto" w:fill="ffffff"/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главный редактор средства массовой информации</w:t>
            </w:r>
            <w:r>
              <w:t xml:space="preserve"> 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Распределение бесплатной печатной площади между зарегистрированными кандидатами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3 ст. 47, 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4 ст. 48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трех дней после завершения регистрации кандидатов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>
              <w:t xml:space="preserve"> совместно с редакциями муниципальных периодических печатных изданий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Письменное уведомление редакций муниципальных периодических печатных изданий о н</w:t>
            </w:r>
            <w:r>
              <w:t xml:space="preserve">амерении использовать бесплатную </w:t>
            </w:r>
            <w:r>
              <w:t xml:space="preserve"> печатную площадь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3 ст. 47, 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4 ст. 48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трех дней после распределения бесплатной печатной площади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зарегистрированные кандидаты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Подача письменных заявок для публикации предвыборных агитационных материалов в муниципальных периодических печатных изданиях, выходящих не реже одного раза в неделю, на платной основе в рамках зарезервированной печатной площади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</w:t>
            </w:r>
            <w:r>
              <w:rPr>
                <w:i/>
              </w:rPr>
              <w:t xml:space="preserve">7</w:t>
            </w:r>
            <w:r>
              <w:rPr>
                <w:i/>
              </w:rPr>
              <w:t xml:space="preserve"> ст. 48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18 </w:t>
            </w:r>
            <w:r>
              <w:t xml:space="preserve">августа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зарегистрированные кандидаты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Рассмотрение заявок о выделении помещений для проведения встреч зарегистрированных кандидатов, их доверенных лиц с избирателями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5 ст. 49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3 дней со дня подачи заявок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собственник, владелец помещения, находящегося в государственной или муниципальной собственности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Уведомление в письменной форме </w:t>
            </w:r>
            <w:r>
              <w:t xml:space="preserve">избирательной комиссии, организующей  выборы</w:t>
            </w:r>
            <w:r>
              <w:t xml:space="preserve"> (</w:t>
            </w:r>
            <w:r>
              <w:t xml:space="preserve">ТИК, </w:t>
            </w:r>
            <w:r>
              <w:t xml:space="preserve">ОИК)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4 ст. 49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дня, следующего за днем предоставления помещения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собственники, владельцы помещений, находящихся в государственной или муниципальной собственности, в собственност</w:t>
            </w:r>
            <w:r>
              <w:t xml:space="preserve">и организации, имеющей на день официального опубликования решения о назначении выборов в своем уставном (складочном) капитале долю (вклад) Российской Федерации, Нижегородской области и (или) муниципальных образований, превышающую (превышающий) 30 процентов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Размещение в сети Интернет или доведение до сведения других кандидатов иным способом информации о факте предоставления помещения зарегистрированному кандидату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4</w:t>
            </w:r>
            <w:r>
              <w:rPr>
                <w:i/>
                <w:vertAlign w:val="superscript"/>
              </w:rPr>
              <w:t xml:space="preserve">1</w:t>
            </w:r>
            <w:r>
              <w:rPr>
                <w:i/>
              </w:rPr>
              <w:t xml:space="preserve"> ст. 49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двух суток с момента получения уведомления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>
              <w:t xml:space="preserve"> (</w:t>
            </w:r>
            <w:r>
              <w:t xml:space="preserve">ТИК, </w:t>
            </w:r>
            <w:r>
              <w:t xml:space="preserve">ОИК)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Оповещение о встрече с избирателями из числа военнослужащих зарегистрированных кандидатов, их доверенных лиц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7 ст. 49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за 3 дня до проведения встречи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командир воинской части совместно с </w:t>
            </w: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Рассмотрение уведомлений организаторов митингов, демонстраций и шествий</w:t>
            </w:r>
            <w:r/>
          </w:p>
          <w:p>
            <w:pPr>
              <w:pStyle w:val="909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49 Закона области № 108-З в соответствии с положениями Федерального закона от 19.06.2004 № 54-ФЗ</w:t>
            </w:r>
            <w:r>
              <w:rPr>
                <w:i/>
              </w:rPr>
              <w:t xml:space="preserve"> «</w:t>
            </w:r>
            <w:r>
              <w:rPr>
                <w:i/>
                <w:iCs/>
              </w:rPr>
              <w:t xml:space="preserve">О собраниях, митингах, демонстрациях, шествиях и пикетированиях»</w:t>
            </w:r>
            <w:r>
              <w:rPr>
                <w:i/>
              </w:rPr>
              <w:t xml:space="preserve">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порядке, установленном законодатель</w:t>
            </w:r>
            <w:r>
              <w:t xml:space="preserve">-</w:t>
            </w:r>
            <w:r>
              <w:t xml:space="preserve">ством РФ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органы местного самоуправления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Выделение специальных мест для размещения печатных агитационных материалов на территории каждого избирательного участка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7 ст. 50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</w:pPr>
            <w:r/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20 августа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органы местного самоуправления по предложению избирательной комиссии,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Borders>
              <w:bottom w:val="single" w:color="000000" w:sz="4" w:space="0"/>
            </w:tcBorders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Публикация предвыборной программы не менее чем в одном муниципальном периодическом печатном издании или размещение ее в информационно-телекоммуникационной сети «Интернет»и представление в ТИК копии указанной публикации и (или) сообщение адреса сайта в </w:t>
            </w:r>
            <w:r>
              <w:t xml:space="preserve">информационно-телекоммуникационной сети «Интернет», на котором размещена программа</w:t>
            </w:r>
            <w:r>
              <w:t xml:space="preserve"> 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11 ст. 44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bottom w:val="single" w:color="000000" w:sz="4" w:space="0"/>
            </w:tcBorders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9 сентября 2026 года</w:t>
            </w:r>
            <w:r/>
          </w:p>
        </w:tc>
        <w:tc>
          <w:tcPr>
            <w:tcBorders>
              <w:bottom w:val="singl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политическая партия, выдвинувшая зарегистрированных кандидатов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shd w:val="clear" w:color="auto" w:fill="ffffff"/>
            <w:tcBorders>
              <w:right w:val="single" w:color="000000" w:sz="4" w:space="0"/>
            </w:tcBorders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Запрет на опубликование (об</w:t>
            </w:r>
            <w:r>
              <w:t xml:space="preserve">народование) результатов опросов общественного мнения, прогнозов результатов выборов, иных исследований, связанных с выборами, в т.ч. их размещение в информационно-телекоммуникационных сетях, доступ к которым не ограничен кругом лиц (включая сеть Интернет)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(ч. 3 ст. 42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shd w:val="clear" w:color="auto" w:fill="ffffff"/>
            <w:tcBorders>
              <w:left w:val="single" w:color="000000" w:sz="4" w:space="0"/>
              <w:right w:val="single" w:color="000000" w:sz="4" w:space="0"/>
            </w:tcBorders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 15 сентября 2026 года и до окончания голосования на территории соответствующего избирательного округа в день голосования </w:t>
            </w:r>
            <w:r/>
          </w:p>
        </w:tc>
        <w:tc>
          <w:tcPr>
            <w:shd w:val="clear" w:color="auto" w:fill="ffffff"/>
            <w:tcBorders>
              <w:left w:val="singl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редакции периодических печатных изданий, организации, обнародующие результаты опросов и прогнозы результатов выборов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данных учета объемов и стоимости печатной площади, предоставленных для проведения предвыборной агитации, объемов и стоимости услуг по размещению агитационных материалов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(ч. 7 ст. 46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30 сентября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организации, осуществляющие выпуск СМИ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W w:w="9775" w:type="dxa"/>
            <w:vAlign w:val="top"/>
            <w:textDirection w:val="lrTb"/>
            <w:noWrap w:val="false"/>
          </w:tcPr>
          <w:p>
            <w:pPr>
              <w:pStyle w:val="920"/>
              <w:ind w:left="709" w:firstLine="0"/>
              <w:jc w:val="left"/>
              <w:outlineLvl w:val="1"/>
            </w:pPr>
            <w:r>
              <w:t xml:space="preserve">ФИНАНСИРОВАНИЕ ВЫБОРОВ, ИЗБИРАТЕЛЬНЫЕ ФОНДЫ КАНДИДАТОВ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Открытие расчетного счета для финансового обеспечения выборов</w:t>
            </w:r>
            <w:r/>
          </w:p>
          <w:p>
            <w:pPr>
              <w:pStyle w:val="909"/>
              <w:jc w:val="both"/>
            </w:pPr>
            <w:r>
              <w:rPr>
                <w:i/>
              </w:rPr>
              <w:t xml:space="preserve">(постановление ИКНО № 101/1249-7 «</w:t>
            </w:r>
            <w:r>
              <w:rPr>
                <w:i/>
              </w:rPr>
              <w:t xml:space="preserve">Об инструкции о порядке открытия и ведения счетов, учета, отчетности и перечисления денежных средств, выделенных избирательным комиссиям, комиссиям референдума на подготовку и проведение муниципальных выборов, местного референдума в Нижегородской области»)</w:t>
            </w:r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официального опубликования решения о назначении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Перечисление </w:t>
            </w:r>
            <w:r>
              <w:t xml:space="preserve">избирательной комиссии, организующей выборы, </w:t>
            </w:r>
            <w:r>
              <w:t xml:space="preserve">средств местного бюджета на проведение выборов </w:t>
            </w:r>
            <w:r>
              <w:t xml:space="preserve">депутатов представительных органов муниципальных образований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</w:t>
            </w:r>
            <w:r>
              <w:rPr>
                <w:i/>
                <w:vertAlign w:val="superscript"/>
              </w:rPr>
              <w:t xml:space="preserve">2</w:t>
            </w:r>
            <w:r>
              <w:rPr>
                <w:i/>
              </w:rPr>
              <w:t xml:space="preserve"> ст. 52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в десятидневный срок со дня официального опубликования решения о назначении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финансовы</w:t>
            </w:r>
            <w:r>
              <w:t xml:space="preserve">е</w:t>
            </w:r>
            <w:r>
              <w:t xml:space="preserve"> орган</w:t>
            </w:r>
            <w:r>
              <w:t xml:space="preserve">ы</w:t>
            </w:r>
            <w:r>
              <w:t xml:space="preserve"> муниципальн</w:t>
            </w:r>
            <w:r>
              <w:t xml:space="preserve">ых</w:t>
            </w:r>
            <w:r>
              <w:t xml:space="preserve"> образовани</w:t>
            </w:r>
            <w:r>
              <w:t xml:space="preserve">й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Распределение финансовых средств окружным избирательным комиссиям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4 ст. 52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</w:t>
            </w:r>
            <w:r>
              <w:t xml:space="preserve">31</w:t>
            </w:r>
            <w:r>
              <w:t xml:space="preserve"> июля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Распределение финансовых средств участковым избирательным комиссиям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4 ст. 52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20</w:t>
            </w:r>
            <w:r>
              <w:t xml:space="preserve"> </w:t>
            </w:r>
            <w:r>
              <w:t xml:space="preserve">августа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Открытие специальных избирательных счетов для формирования своих избирательных фондов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1, 4 ст. 54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письменного уведомления ОИК о выдвижении до представления документов на регистрацию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кандидаты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Размещение на официальном сайте избирательной комиссии в сети Интернет информации о поступлении и расходовании средств избирательных фондов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6 ст. 57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периодически до дня голосования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соответствующая избирательная комиссия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Размещение на сайте ИКНО в информационно-телекоммуникационной сети "Интернет" сведений о поступлении средств на специальные избирательные счета кандидатов и о расходовании этих средств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12 ст. 53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периодически до дня голосования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ИКНО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Предоставление итоговых финансовых отчетов в ОИК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57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30 дней со дня официального опубликования результатов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кандидаты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Пер</w:t>
            </w:r>
            <w:r>
              <w:t xml:space="preserve">едача копий финансовых отчетов </w:t>
            </w:r>
            <w:r>
              <w:t xml:space="preserve"> кандидатов на сайте ИКНО</w:t>
            </w:r>
            <w:r/>
          </w:p>
          <w:p>
            <w:pPr>
              <w:pStyle w:val="920"/>
              <w:jc w:val="both"/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4 ст. 57 Закона области № 108-З</w:t>
            </w:r>
            <w:r>
              <w:t xml:space="preserve">)</w:t>
            </w:r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5 дней со дня их поступления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По представлению ОИК проверка на безвозмездной основе достоверности сведений, указанных юридическими лицами - жертвователями в избирательные фонды, и сообщение о результатах проверки в соответствующую избирательную комиссию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7 ст. 57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пятидневный срок со дня поступления представления ОИК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государственные органы и уполномоченные органы и организации, осуществляющие государственную регистрацию юридических лиц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Возврат пожертвований жертвователям в случае, если добровольное пожертвование поступило в избирательный фонд от гражданина или юридического лица, не имеющего права осуществлять такое пожертвование, или пожертвования были внесены с </w:t>
            </w:r>
            <w:r>
              <w:t xml:space="preserve">нарушением требований </w:t>
            </w:r>
            <w:r>
              <w:fldChar w:fldCharType="begin"/>
            </w:r>
            <w:r>
              <w:instrText xml:space="preserve">HYPERLINK "consultantplus://offline/ref=D8C8E166650AE1ACEDB4E5F0226419BC893FA69F921A763C7E31FAD1588756CF26BC6E59366FA0AD21EBCB3D25916DE42F11B066D80984BDFAE27847GD21K"</w:instrText>
            </w:r>
            <w:r>
              <w:fldChar w:fldCharType="separate"/>
            </w:r>
            <w:r>
              <w:t xml:space="preserve">ч. 1</w:t>
            </w:r>
            <w:r>
              <w:fldChar w:fldCharType="end"/>
            </w:r>
            <w:r>
              <w:t xml:space="preserve"> и </w:t>
            </w:r>
            <w:r>
              <w:fldChar w:fldCharType="begin"/>
            </w:r>
            <w:r>
              <w:instrText xml:space="preserve">HYPERLINK "consultantplus://offline/ref=D8C8E166650AE1ACEDB4E5F0226419BC893FA69F921A763C7E31FAD1588756CF26BC6E59366FA0AD21EBCB3D24916DE42F11B066D80984BDFAE27847GD21K"</w:instrText>
            </w:r>
            <w:r>
              <w:fldChar w:fldCharType="separate"/>
            </w:r>
            <w:r>
              <w:t xml:space="preserve">2 ст. 56</w:t>
            </w:r>
            <w:r>
              <w:fldChar w:fldCharType="end"/>
            </w:r>
            <w:r>
              <w:t xml:space="preserve"> Закона области </w:t>
            </w:r>
            <w:r>
              <w:t xml:space="preserve">№ 108-З</w:t>
            </w:r>
            <w:r>
              <w:t xml:space="preserve"> либо в размерах,</w:t>
            </w:r>
            <w:r>
              <w:t xml:space="preserve"> </w:t>
            </w:r>
            <w:r>
              <w:t xml:space="preserve">превышающих предусмотренные </w:t>
            </w:r>
            <w:r>
              <w:fldChar w:fldCharType="begin"/>
            </w:r>
            <w:r>
              <w:instrText xml:space="preserve">HYPERLINK "consultantplus://offline/ref=D8C8E166650AE1ACEDB4E5F0226419BC893FA69F921A763C7E31FAD1588756CF26BC6E59366FA0AD21EBC43D2E916DE42F11B066D80984BDFAE27847GD21K"</w:instrText>
            </w:r>
            <w:r>
              <w:fldChar w:fldCharType="separate"/>
            </w:r>
            <w:r>
              <w:t xml:space="preserve">ст. 53</w:t>
            </w:r>
            <w:r>
              <w:fldChar w:fldCharType="end"/>
            </w:r>
            <w:r>
              <w:t xml:space="preserve"> указанного Закона области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4 ст. 56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10 дней со дня поступления пожертвования на специальный избирательный счет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кандидат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Перечисление анонимных пожертвований в доход</w:t>
            </w:r>
            <w:r>
              <w:t xml:space="preserve"> местного </w:t>
            </w:r>
            <w:r>
              <w:t xml:space="preserve">бюджета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5 ст. 56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10 дней со дня их поступления на специальный избирательный счет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кандидат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Перечисление неизрасходованных денежных средств, находящихся на специальном избирательном счете после дня голосования, гражданам и юридическим лицам, осуществившим пожертвования. Закрытие специального избирательного счета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(ст. 58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дня голосования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кандидат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Перечисление в доход </w:t>
            </w:r>
            <w:r>
              <w:t xml:space="preserve">местного </w:t>
            </w:r>
            <w:r>
              <w:t xml:space="preserve">бюджета неизрасходованных денежных средств, находящихся на специальном избирательном счете после дня голосования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(ст. 58 Закона области 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 истечении 60 дней со дня голосования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>
              <w:t xml:space="preserve">, кредитная организация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в ОИК финансовых отчетов о поступлении и расходовании средств, выделенных УИК на подготовку и проведение выборов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7 ст. 59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30 </w:t>
            </w:r>
            <w:r>
              <w:t xml:space="preserve">сентября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УИК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  <w:rPr>
                <w:i/>
              </w:rPr>
            </w:pPr>
            <w:r>
              <w:t xml:space="preserve">Представление в </w:t>
            </w:r>
            <w:r>
              <w:t xml:space="preserve">избирательную комиссию, организующую выборы, </w:t>
            </w:r>
            <w:r>
              <w:t xml:space="preserve">финансовых отчетов о поступлении и расходовании средств, выделенных </w:t>
            </w:r>
            <w:r>
              <w:t xml:space="preserve">ТИК</w:t>
            </w:r>
            <w:r>
              <w:t xml:space="preserve"> на подготовку и проведение выборов</w:t>
            </w:r>
            <w:r>
              <w:rPr>
                <w:i/>
              </w:rPr>
              <w:t xml:space="preserve"> 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</w:t>
            </w:r>
            <w:r>
              <w:rPr>
                <w:i/>
              </w:rPr>
              <w:t xml:space="preserve">7</w:t>
            </w:r>
            <w:r>
              <w:rPr>
                <w:i/>
              </w:rPr>
              <w:t xml:space="preserve"> ст. 59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10</w:t>
            </w:r>
            <w:r>
              <w:t xml:space="preserve"> октября 2026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Т</w:t>
            </w:r>
            <w:r>
              <w:t xml:space="preserve">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в </w:t>
            </w:r>
            <w:r>
              <w:t xml:space="preserve">избирательную комиссию, организующую выборы, </w:t>
            </w:r>
            <w:r>
              <w:t xml:space="preserve">финансовых отчетов о поступлении и расходовании средств, выделенных ОИК на подготовку и проведение выборов, а также сведений о поступлении и расходовании средств избирательных фондов кандидатов</w:t>
            </w:r>
            <w:r/>
          </w:p>
          <w:p>
            <w:pPr>
              <w:pStyle w:val="920"/>
              <w:jc w:val="both"/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8 ст. 59 Закона области № 108-З)</w:t>
            </w:r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35 дней со дня официального опубликования общих результатов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Представление в представительный орган финансового отчета о поступлении и расходовании средств местного бюджета, выделенных </w:t>
            </w:r>
            <w:r>
              <w:t xml:space="preserve">избирательной комиссии, организующей выборы, </w:t>
            </w:r>
            <w:r>
              <w:t xml:space="preserve">на подготовку и проведение выборов</w:t>
            </w:r>
            <w:r>
              <w:t xml:space="preserve"> депутатов представительных органов иных муниципальных образований</w:t>
            </w:r>
            <w:r>
              <w:t xml:space="preserve">, а также сведений о поступлении и расходовании средств избирательных фондов кандидатов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9 ст. 59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чем через 3 месяца со дня официального опубликования общих результатов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 избирательная комиссия, организующая выборы</w:t>
            </w:r>
            <w:r/>
          </w:p>
        </w:tc>
      </w:tr>
      <w:tr>
        <w:tblPrEx/>
        <w:trPr/>
        <w:tc>
          <w:tcPr>
            <w:gridSpan w:val="4"/>
            <w:tcBorders>
              <w:bottom w:val="single" w:color="000000" w:sz="4" w:space="0"/>
            </w:tcBorders>
            <w:tcW w:w="9775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ind w:left="709" w:firstLine="0"/>
              <w:jc w:val="left"/>
              <w:outlineLvl w:val="1"/>
            </w:pPr>
            <w:r>
              <w:t xml:space="preserve">               ДИСТАНЦИОННОЕ ЭЛЕКТРОННОЕ ГОЛОСОВАНИЕ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  <w:outlineLvl w:val="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2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both"/>
            </w:pPr>
            <w:r>
              <w:t xml:space="preserve">Реализация избирателем права подачи заявления для участия в ДЭГ (подается в электронном виде с использованием ЕПГУ)</w:t>
            </w:r>
            <w:r/>
          </w:p>
          <w:p>
            <w:pPr>
              <w:pStyle w:val="909"/>
              <w:jc w:val="both"/>
            </w:pPr>
            <w:r>
              <w:rPr>
                <w:i/>
              </w:rPr>
              <w:t xml:space="preserve">(п. 2.2 постановление ЦИК России № 86/716-8 «</w:t>
            </w:r>
            <w:r>
              <w:rPr>
                <w:i/>
                <w:iCs/>
              </w:rPr>
              <w:t xml:space="preserve">О Порядке дистанционного электронного голосования с использованием федеральных государственных информ</w:t>
            </w:r>
            <w:r>
              <w:rPr>
                <w:i/>
                <w:iCs/>
              </w:rPr>
              <w:t xml:space="preserve">ационных систем» (далее – постановление ЦИК России № 86/716-8)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1" w:type="dxa"/>
            <w:vAlign w:val="top"/>
            <w:vMerge w:val="restart"/>
            <w:textDirection w:val="lrTb"/>
            <w:noWrap w:val="false"/>
          </w:tcPr>
          <w:p>
            <w:pPr>
              <w:pStyle w:val="915"/>
              <w:jc w:val="center"/>
              <w:rPr>
                <w:rFonts w:ascii="Caladea" w:hAnsi="Caladea" w:eastAsia="Caladea" w:cs="Caladea"/>
                <w:sz w:val="22"/>
                <w:szCs w:val="22"/>
                <w:highlight w:val="none"/>
              </w:rPr>
            </w:pPr>
            <w:r>
              <w:rPr>
                <w:rFonts w:ascii="Caladea" w:hAnsi="Caladea" w:eastAsia="Caladea" w:cs="Caladea"/>
                <w:sz w:val="22"/>
                <w:szCs w:val="22"/>
              </w:rPr>
            </w:r>
            <w:r>
              <w:rPr>
                <w:rFonts w:ascii="Caladea" w:hAnsi="Caladea" w:eastAsia="Caladea" w:cs="Caladea"/>
                <w:sz w:val="22"/>
                <w:szCs w:val="22"/>
              </w:rPr>
              <w:t xml:space="preserve">с 5 августа 2026 года по 14 сентября 2026 года</w:t>
            </w:r>
            <w:r>
              <w:rPr>
                <w:rFonts w:ascii="Caladea" w:hAnsi="Caladea" w:eastAsia="Caladea" w:cs="Caladea"/>
                <w:sz w:val="22"/>
                <w:szCs w:val="22"/>
              </w:rPr>
            </w:r>
            <w:r>
              <w:rPr>
                <w:rFonts w:ascii="Caladea" w:hAnsi="Caladea" w:eastAsia="Caladea" w:cs="Caladea"/>
                <w:sz w:val="22"/>
                <w:szCs w:val="22"/>
                <w:highlight w:val="none"/>
              </w:rPr>
            </w:r>
          </w:p>
          <w:p>
            <w:pPr>
              <w:pStyle w:val="915"/>
              <w:jc w:val="center"/>
              <w:rPr>
                <w:rFonts w:ascii="Caladea" w:hAnsi="Caladea" w:cs="Caladea"/>
                <w:sz w:val="22"/>
                <w:szCs w:val="22"/>
              </w:rPr>
            </w:pPr>
            <w:r>
              <w:rPr>
                <w:rFonts w:ascii="Caladea" w:hAnsi="Caladea" w:eastAsia="Caladea" w:cs="Caladea"/>
                <w:sz w:val="22"/>
                <w:szCs w:val="22"/>
              </w:rPr>
            </w:r>
            <w:r>
              <w:rPr>
                <w:rFonts w:ascii="Caladea" w:hAnsi="Caladea" w:eastAsia="Caladea" w:cs="Caladea"/>
                <w:sz w:val="22"/>
                <w:szCs w:val="22"/>
              </w:rPr>
            </w:r>
            <w:r>
              <w:rPr>
                <w:rFonts w:ascii="Caladea" w:hAnsi="Caladea" w:cs="Caladea"/>
                <w:sz w:val="22"/>
                <w:szCs w:val="22"/>
              </w:rPr>
            </w:r>
          </w:p>
          <w:p>
            <w:pPr>
              <w:pStyle w:val="915"/>
              <w:jc w:val="both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t xml:space="preserve">избиратель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  <w:outlineLvl w:val="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2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both"/>
            </w:pPr>
            <w:r>
              <w:t xml:space="preserve">Реализация избирателем права отзыва заявления об участии в ДЭГ </w:t>
            </w:r>
            <w:r/>
          </w:p>
          <w:p>
            <w:pPr>
              <w:pStyle w:val="909"/>
            </w:pPr>
            <w:r>
              <w:rPr>
                <w:i/>
                <w:iCs/>
              </w:rPr>
              <w:t xml:space="preserve">(п.2.5. постановлени</w:t>
            </w:r>
            <w:r>
              <w:rPr>
                <w:i/>
                <w:iCs/>
              </w:rPr>
              <w:t xml:space="preserve">я</w:t>
            </w:r>
            <w:r>
              <w:rPr>
                <w:i/>
                <w:iCs/>
              </w:rPr>
              <w:t xml:space="preserve"> ЦИК России №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86/716-8)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1" w:type="dxa"/>
            <w:vAlign w:val="top"/>
            <w:vMerge w:val="restart"/>
            <w:textDirection w:val="lrTb"/>
            <w:noWrap w:val="false"/>
          </w:tcPr>
          <w:p>
            <w:pPr>
              <w:pStyle w:val="915"/>
              <w:jc w:val="center"/>
            </w:pPr>
            <w:r>
              <w:rPr>
                <w:sz w:val="22"/>
                <w:szCs w:val="22"/>
              </w:rPr>
              <w:t xml:space="preserve">не позднее 24.00 часов 14 сентября 2026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избиратель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  <w:outlineLvl w:val="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2" w:type="dxa"/>
            <w:vAlign w:val="top"/>
            <w:vMerge w:val="restart"/>
            <w:textDirection w:val="lrTb"/>
            <w:noWrap w:val="false"/>
          </w:tcPr>
          <w:p>
            <w:pPr>
              <w:pStyle w:val="915"/>
              <w:jc w:val="both"/>
              <w:rPr>
                <w:i/>
                <w:iCs/>
              </w:rPr>
            </w:pPr>
            <w:r>
              <w:rPr>
                <w:sz w:val="22"/>
                <w:szCs w:val="22"/>
              </w:rPr>
              <w:t xml:space="preserve">Формирование ТИК Реестра избирателей, подлежащих исключению из списка избирателей в связи с подачей заявления об участии в ДЭГ. </w:t>
            </w:r>
            <w:r>
              <w:rPr>
                <w:i/>
                <w:iCs/>
              </w:rPr>
            </w:r>
            <w:r>
              <w:rPr>
                <w:i/>
                <w:iCs/>
              </w:rPr>
            </w:r>
          </w:p>
          <w:p>
            <w:pPr>
              <w:pStyle w:val="909"/>
              <w:jc w:val="both"/>
            </w:pPr>
            <w:r>
              <w:rPr>
                <w:i/>
                <w:iCs/>
              </w:rPr>
              <w:t xml:space="preserve">(п.3.6. постановлени</w:t>
            </w:r>
            <w:r>
              <w:rPr>
                <w:i/>
                <w:iCs/>
              </w:rPr>
              <w:t xml:space="preserve">я</w:t>
            </w:r>
            <w:r>
              <w:rPr>
                <w:i/>
                <w:iCs/>
              </w:rPr>
              <w:t xml:space="preserve"> ЦИК России №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86/716-8)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1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до 10.00 часов 17 сентября 2026 года</w:t>
            </w:r>
            <w:r/>
          </w:p>
          <w:p>
            <w:pPr>
              <w:pStyle w:val="909"/>
              <w:jc w:val="center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ТИК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  <w:outlineLvl w:val="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2" w:type="dxa"/>
            <w:vAlign w:val="top"/>
            <w:vMerge w:val="restart"/>
            <w:textDirection w:val="lrTb"/>
            <w:noWrap w:val="false"/>
          </w:tcPr>
          <w:p>
            <w:pPr>
              <w:pStyle w:val="915"/>
              <w:jc w:val="both"/>
              <w:rPr>
                <w:i/>
                <w:iCs/>
              </w:rPr>
            </w:pPr>
            <w:r>
              <w:rPr>
                <w:sz w:val="22"/>
                <w:szCs w:val="22"/>
              </w:rPr>
              <w:t xml:space="preserve">Пе</w:t>
            </w:r>
            <w:r>
              <w:rPr>
                <w:sz w:val="22"/>
                <w:szCs w:val="22"/>
              </w:rPr>
              <w:t xml:space="preserve">редача Реестра избирателей, подлежащих исключению из списка избирателей в связи с подачей заявления об участии в ДЭГ в УИК. </w:t>
            </w:r>
            <w:r>
              <w:rPr>
                <w:i/>
                <w:iCs/>
                <w:sz w:val="22"/>
                <w:szCs w:val="22"/>
              </w:rPr>
            </w:r>
            <w:r>
              <w:rPr>
                <w:i/>
                <w:iCs/>
              </w:rPr>
            </w:r>
          </w:p>
          <w:p>
            <w:pPr>
              <w:pStyle w:val="915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(п.3.6. постановлени</w:t>
            </w:r>
            <w:r>
              <w:rPr>
                <w:i/>
                <w:iCs/>
                <w:sz w:val="22"/>
                <w:szCs w:val="22"/>
              </w:rPr>
              <w:t xml:space="preserve">я</w:t>
            </w:r>
            <w:r>
              <w:rPr>
                <w:i/>
                <w:iCs/>
                <w:sz w:val="22"/>
                <w:szCs w:val="22"/>
              </w:rPr>
              <w:t xml:space="preserve"> ЦИК России №</w:t>
            </w:r>
            <w:r>
              <w:rPr>
                <w:i/>
                <w:iCs/>
                <w:sz w:val="22"/>
                <w:szCs w:val="22"/>
              </w:rPr>
              <w:t xml:space="preserve"> </w:t>
            </w:r>
            <w:r>
              <w:rPr>
                <w:i/>
                <w:iCs/>
                <w:sz w:val="22"/>
                <w:szCs w:val="22"/>
              </w:rPr>
              <w:t xml:space="preserve">86/716-8)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1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17 сентября 2026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ТИК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  <w:outlineLvl w:val="1"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2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</w:pPr>
            <w:r>
              <w:t xml:space="preserve">Проведение дистанционного электронного голосования</w:t>
            </w:r>
            <w:r/>
          </w:p>
          <w:p>
            <w:pPr>
              <w:pStyle w:val="909"/>
            </w:pPr>
            <w:r>
              <w:rPr>
                <w:i/>
                <w:iCs/>
              </w:rPr>
              <w:t xml:space="preserve">(п.6.1. постановлени</w:t>
            </w:r>
            <w:r>
              <w:rPr>
                <w:i/>
                <w:iCs/>
              </w:rPr>
              <w:t xml:space="preserve">я</w:t>
            </w:r>
            <w:r>
              <w:rPr>
                <w:i/>
                <w:iCs/>
              </w:rPr>
              <w:t xml:space="preserve"> ЦИК России №</w:t>
            </w:r>
            <w:r>
              <w:rPr>
                <w:i/>
                <w:iCs/>
              </w:rPr>
              <w:t xml:space="preserve"> </w:t>
            </w:r>
            <w:r>
              <w:rPr>
                <w:i/>
                <w:iCs/>
              </w:rPr>
              <w:t xml:space="preserve">86/716-8)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41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</w:pPr>
            <w:r>
              <w:t xml:space="preserve">С 8.00 часов по местному времени 1</w:t>
            </w:r>
            <w:r>
              <w:t xml:space="preserve">8</w:t>
            </w:r>
            <w:r>
              <w:t xml:space="preserve"> сентября до 20.00 часов по местному времени </w:t>
            </w:r>
            <w:r>
              <w:t xml:space="preserve">20</w:t>
            </w:r>
            <w:r>
              <w:t xml:space="preserve"> сентября 2026 года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0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избирательные комиссии, осуществляющие проведение дистанционного электронного голосования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4"/>
            <w:tcBorders>
              <w:top w:val="single" w:color="000000" w:sz="4" w:space="0"/>
            </w:tcBorders>
            <w:tcW w:w="9775" w:type="dxa"/>
            <w:vAlign w:val="top"/>
            <w:textDirection w:val="lrTb"/>
            <w:noWrap w:val="false"/>
          </w:tcPr>
          <w:p>
            <w:pPr>
              <w:pStyle w:val="920"/>
              <w:ind w:left="709" w:firstLine="0"/>
              <w:jc w:val="left"/>
              <w:outlineLvl w:val="1"/>
            </w:pPr>
            <w:r>
              <w:t xml:space="preserve">         ГОЛОСОВАНИЕ И ОПРЕДЕЛЕНИЕ РЕЗУЛЬТАТОВ ВЫБОРОВ</w:t>
            </w:r>
            <w:r/>
          </w:p>
        </w:tc>
      </w:tr>
      <w:tr>
        <w:tblPrEx/>
        <w:trPr/>
        <w:tc>
          <w:tcPr>
            <w:tcW w:w="83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both"/>
            </w:pPr>
            <w:r>
              <w:t xml:space="preserve">Определение избирательных участков и адресов проведения голосования с использованием дополнительной возможности реализации избирательных прав (в случае использования дополнительной возможности) (</w:t>
            </w:r>
            <w:r>
              <w:rPr>
                <w:i/>
              </w:rPr>
              <w:t xml:space="preserve">п. 1.7 постановления ЦИК России № 86/718-8)</w:t>
            </w:r>
            <w:r/>
          </w:p>
        </w:tc>
        <w:tc>
          <w:tcPr>
            <w:tcW w:w="2041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 позднее </w:t>
            </w:r>
            <w:r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 xml:space="preserve">сентября 2026 года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30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ТИК во взаимодействии с органами местного самоуправления и по согласованию с ИКНО</w:t>
            </w:r>
            <w:r/>
          </w:p>
        </w:tc>
      </w:tr>
      <w:tr>
        <w:tblPrEx/>
        <w:trPr/>
        <w:tc>
          <w:tcPr>
            <w:tcW w:w="83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both"/>
            </w:pPr>
            <w:r>
              <w:t xml:space="preserve">Размещение на сайте ИКНО, доведение до сведения избирателей иными способами информации о датах, времени, адресах мест проведения допо</w:t>
            </w:r>
            <w:r>
              <w:t xml:space="preserve">лнительной формы голосования (в случае использования дополнительной формы голосования) </w:t>
            </w:r>
            <w:r>
              <w:rPr>
                <w:i/>
              </w:rPr>
              <w:t xml:space="preserve">(п. 1.7 постановления ЦИК России № 86/718-8)</w:t>
            </w:r>
            <w:r/>
          </w:p>
        </w:tc>
        <w:tc>
          <w:tcPr>
            <w:tcW w:w="2041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незамедлительно по мере поступления, но не позднее 10 сентября 2026 года</w:t>
            </w:r>
            <w:r/>
          </w:p>
        </w:tc>
        <w:tc>
          <w:tcPr>
            <w:tcW w:w="2309" w:type="dxa"/>
            <w:vAlign w:val="top"/>
            <w:vMerge w:val="restart"/>
            <w:textDirection w:val="lrTb"/>
            <w:noWrap w:val="false"/>
          </w:tcPr>
          <w:p>
            <w:pPr>
              <w:pStyle w:val="909"/>
              <w:jc w:val="center"/>
            </w:pPr>
            <w:r>
              <w:t xml:space="preserve">ИКНО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Утверждение формы избирательного бюллетеня, числа избирательных бюллетеней, порядка осуществления контроля за изготовлением избирательных бюллетеней</w:t>
            </w:r>
            <w:r/>
          </w:p>
          <w:p>
            <w:pPr>
              <w:pStyle w:val="920"/>
              <w:rPr>
                <w:i/>
              </w:rPr>
            </w:pP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4 ст. 62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30</w:t>
            </w:r>
            <w:r>
              <w:t xml:space="preserve"> </w:t>
            </w:r>
            <w:r>
              <w:t xml:space="preserve">августа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Утверждение текста избирательного бюллетеня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4 ст. 62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30 </w:t>
            </w:r>
            <w:r>
              <w:t xml:space="preserve">августа </w:t>
            </w:r>
            <w:r>
              <w:t xml:space="preserve">2024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Изготовление специальных трафаретов для самостоятельного заполнения бюллетеня крупным шрифтом (шрифтом Брайля)</w:t>
            </w:r>
            <w:r/>
          </w:p>
          <w:p>
            <w:pPr>
              <w:pStyle w:val="920"/>
              <w:jc w:val="both"/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</w:t>
            </w:r>
            <w:r>
              <w:rPr>
                <w:i/>
                <w:vertAlign w:val="superscript"/>
              </w:rPr>
              <w:t xml:space="preserve">1</w:t>
            </w:r>
            <w:r>
              <w:rPr>
                <w:i/>
              </w:rPr>
              <w:t xml:space="preserve"> ст. 62 Закона области № 108-З)</w:t>
            </w:r>
            <w:r/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утверждения текста избирательного бюллетеня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Изготовление информационных материалов обо всех кандидатах, внесенных в бюллетень, в том числе крупным шрифтом (шрифтом Брайля)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7</w:t>
            </w:r>
            <w:r>
              <w:rPr>
                <w:i/>
                <w:vertAlign w:val="superscript"/>
              </w:rPr>
              <w:t xml:space="preserve">1</w:t>
            </w:r>
            <w:r>
              <w:rPr>
                <w:i/>
              </w:rPr>
              <w:t xml:space="preserve"> ст. 60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после утверждения текста избирательного бюллетеня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09"/>
              <w:ind w:right="11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Прием заявлений (устных обращений) избирателей о предоставлении возможности проголосовать вне помещения для голосования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ind w:right="113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(ч</w:t>
            </w:r>
            <w:r>
              <w:rPr>
                <w:i/>
                <w:color w:val="000000"/>
              </w:rPr>
              <w:t xml:space="preserve">. 5 ст. 64 Закона области № 108-З)</w:t>
            </w:r>
            <w:r>
              <w:rPr>
                <w:i/>
                <w:color w:val="000000"/>
              </w:rPr>
            </w:r>
            <w:r>
              <w:rPr>
                <w:i/>
                <w:color w:val="000000"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1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 10 сентября 2026 года до 14-00 часов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1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 сентября 2026 года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УИК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Оповещение избирателей о дне, времени и месте голосования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63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</w:t>
            </w:r>
            <w:r>
              <w:t xml:space="preserve">4</w:t>
            </w:r>
            <w:r>
              <w:t xml:space="preserve"> сентября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УИК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vMerge w:val="restart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Передача избирательных бюллетеней:</w:t>
            </w:r>
            <w:r/>
          </w:p>
        </w:tc>
        <w:tc>
          <w:tcPr>
            <w:tcBorders>
              <w:bottom w:val="none" w:color="000000" w:sz="4" w:space="0"/>
            </w:tcBorders>
            <w:tcW w:w="2041" w:type="dxa"/>
            <w:vAlign w:val="top"/>
            <w:textDirection w:val="lrTb"/>
            <w:noWrap w:val="false"/>
          </w:tcPr>
          <w:p>
            <w:pPr>
              <w:pStyle w:val="920"/>
            </w:pPr>
            <w:r/>
            <w:r/>
          </w:p>
        </w:tc>
        <w:tc>
          <w:tcPr>
            <w:tcBorders>
              <w:bottom w:val="non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920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W w:w="833" w:type="dxa"/>
            <w:vAlign w:val="top"/>
            <w:vMerge w:val="continue"/>
            <w:textDirection w:val="lrTb"/>
            <w:noWrap w:val="false"/>
          </w:tcPr>
          <w:p>
            <w:pPr>
              <w:pStyle w:val="909"/>
              <w:ind w:left="0" w:firstLine="0"/>
            </w:pPr>
            <w:r/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- в ОИК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срок, установленный </w:t>
            </w:r>
            <w:r>
              <w:t xml:space="preserve">избирательной комиссией, организующей выборы</w:t>
            </w:r>
            <w:r/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2"/>
        </w:trPr>
        <w:tc>
          <w:tcPr>
            <w:tcW w:w="833" w:type="dxa"/>
            <w:vAlign w:val="top"/>
            <w:vMerge w:val="continue"/>
            <w:textDirection w:val="lrTb"/>
            <w:noWrap w:val="false"/>
          </w:tcPr>
          <w:p>
            <w:pPr>
              <w:pStyle w:val="909"/>
              <w:ind w:left="0" w:firstLine="0"/>
            </w:pPr>
            <w:r/>
            <w:r/>
          </w:p>
        </w:tc>
        <w:tc>
          <w:tcPr>
            <w:tcBorders>
              <w:top w:val="none" w:color="000000" w:sz="4" w:space="0"/>
            </w:tcBorders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- в УИК</w:t>
            </w:r>
            <w:r/>
          </w:p>
          <w:p>
            <w:pPr>
              <w:pStyle w:val="920"/>
              <w:jc w:val="both"/>
              <w:rPr>
                <w:highlight w:val="none"/>
              </w:rPr>
            </w:pPr>
            <w:r>
              <w:t xml:space="preserve">(</w:t>
            </w:r>
            <w:r>
              <w:rPr>
                <w:i/>
              </w:rPr>
              <w:t xml:space="preserve">ч</w:t>
            </w:r>
            <w:r>
              <w:rPr>
                <w:i/>
              </w:rPr>
              <w:t xml:space="preserve">. 15 ст. 62 Закона области № 108-З</w:t>
            </w:r>
            <w:r>
              <w:t xml:space="preserve">)</w:t>
            </w:r>
            <w:r>
              <w:rPr>
                <w:highlight w:val="none"/>
              </w:rPr>
            </w:r>
          </w:p>
        </w:tc>
        <w:tc>
          <w:tcPr>
            <w:tcBorders>
              <w:top w:val="none" w:color="000000" w:sz="4" w:space="0"/>
            </w:tcBorders>
            <w:tcW w:w="2041" w:type="dxa"/>
            <w:vAlign w:val="top"/>
            <w:textDirection w:val="lrTb"/>
            <w:noWrap w:val="false"/>
          </w:tcPr>
          <w:p>
            <w:pPr>
              <w:pStyle w:val="909"/>
              <w:jc w:val="center"/>
              <w:keepLines/>
              <w:rPr>
                <w:color w:val="000000"/>
              </w:rPr>
            </w:pPr>
            <w:r>
              <w:rPr>
                <w:color w:val="000000"/>
              </w:rPr>
              <w:t xml:space="preserve">не позднее 17</w:t>
            </w:r>
            <w:r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09"/>
              <w:jc w:val="center"/>
              <w:keepLines/>
            </w:pPr>
            <w:r>
              <w:rPr>
                <w:color w:val="000000"/>
              </w:rPr>
              <w:t xml:space="preserve"> </w:t>
            </w:r>
            <w:r/>
          </w:p>
        </w:tc>
        <w:tc>
          <w:tcPr>
            <w:tcBorders>
              <w:top w:val="none" w:color="000000" w:sz="4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Проведение голосования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(ч. 1</w:t>
            </w:r>
            <w:r>
              <w:rPr>
                <w:i/>
              </w:rPr>
              <w:t xml:space="preserve"> ст. 63 Закона области № 108-З, п.1.6 постановления ЦИК России №86/718-8)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1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18,19,20 сентября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2026</w:t>
            </w:r>
            <w:r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 xml:space="preserve">ода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18"/>
              <w:jc w:val="center"/>
              <w:rPr>
                <w:color w:val="000000"/>
                <w:highlight w:val="none"/>
              </w:rPr>
            </w:pPr>
            <w:r>
              <w:rPr>
                <w:color w:val="000000"/>
              </w:rPr>
              <w:t xml:space="preserve">с 8 до 20 часов 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pStyle w:val="918"/>
              <w:jc w:val="center"/>
              <w:rPr>
                <w:color w:val="000000"/>
              </w:rPr>
            </w:pPr>
            <w:r>
              <w:rPr>
                <w:color w:val="000000"/>
                <w:highlight w:val="none"/>
              </w:rPr>
            </w:r>
            <w:r>
              <w:t xml:space="preserve">(голосование с использованием дополнительной возможности реализации избирательных прав, в случае ее применения, - </w:t>
            </w:r>
            <w:r>
              <w:t xml:space="preserve">18</w:t>
            </w:r>
            <w:r>
              <w:t xml:space="preserve">  и 1</w:t>
            </w:r>
            <w:r>
              <w:t xml:space="preserve">9</w:t>
            </w:r>
            <w:r>
              <w:t xml:space="preserve"> сентября 2026 года)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УИК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Подсчет голосов на избирательных участках и составление протоколов об итогах голосования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66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сразу после окончания времени голосования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последний день голосования) и подсчета голосов по федеральным и региональным выборам без перерыва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установления итогов голосования на избирательном участке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УИК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Определение результатов выборов по одномандатному избирательному округу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 ст. 67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</w:t>
            </w:r>
            <w:r>
              <w:t xml:space="preserve">24 </w:t>
            </w:r>
            <w:r>
              <w:t xml:space="preserve">сентября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Установление общих результатов выборов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 ст. 69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4</w:t>
            </w:r>
            <w:r>
              <w:t xml:space="preserve"> октября</w:t>
            </w:r>
            <w:r>
              <w:t xml:space="preserve">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Направление данных о результатах выборов в СМИ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2 ст. 73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суток после определения результатов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ОИК,</w:t>
            </w:r>
            <w:r>
              <w:t xml:space="preserve"> 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Извещение кандидатов, избранных депутатами, об их избрании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1 ст. 72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незамедлительно после подписания протокола о результатах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ОИК, </w:t>
            </w: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Официальное опубликование (обнародование) общих результатов выборов, а также данных о числе голосов, поданных за каждого из кандидатов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3 ст. 73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4</w:t>
            </w:r>
            <w:r>
              <w:t xml:space="preserve"> октября</w:t>
            </w:r>
            <w:r>
              <w:t xml:space="preserve">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Регистрация избранных депутатов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4 ст. 72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семидневный срок после официального опубликования общих результатов выборов и после представления кандидатом в соответствующую комиссию в пятидневный срок со дня его извещения о результатах выборов </w:t>
            </w:r>
            <w:r>
              <w:t xml:space="preserve">копии документа, указанного в части 1 статьи 72 Закона области №108-З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Направление в ИКНО решений об общих результатах выборов 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6 ст. 73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7 дней после их принятия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Опубликование (обнародование) полных данных об итогах голосования и о результатах выборов в объеме данных, содержащихся в протоколах всех избирательных комиссий</w:t>
            </w:r>
            <w:r/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  <w:t xml:space="preserve">(ч</w:t>
            </w:r>
            <w:r>
              <w:rPr>
                <w:i/>
              </w:rPr>
              <w:t xml:space="preserve">. 4 ст. 73 Закона области № 108-З)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не позднее 20</w:t>
            </w:r>
            <w:r>
              <w:t xml:space="preserve"> </w:t>
            </w:r>
            <w:r>
              <w:t xml:space="preserve">ноября </w:t>
            </w:r>
            <w:r>
              <w:t xml:space="preserve">2026</w:t>
            </w:r>
            <w:r>
              <w:t xml:space="preserve"> года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избирательная комиссия, организующая выборы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833" w:type="dxa"/>
            <w:vAlign w:val="top"/>
            <w:textDirection w:val="lrTb"/>
            <w:noWrap w:val="false"/>
          </w:tcPr>
          <w:p>
            <w:pPr>
              <w:pStyle w:val="920"/>
              <w:numPr>
                <w:ilvl w:val="0"/>
                <w:numId w:val="32"/>
              </w:numPr>
              <w:jc w:val="left"/>
            </w:pPr>
            <w:r/>
            <w:r/>
          </w:p>
        </w:tc>
        <w:tc>
          <w:tcPr>
            <w:tcW w:w="4592" w:type="dxa"/>
            <w:vAlign w:val="top"/>
            <w:textDirection w:val="lrTb"/>
            <w:noWrap w:val="false"/>
          </w:tcPr>
          <w:p>
            <w:pPr>
              <w:pStyle w:val="920"/>
              <w:jc w:val="both"/>
            </w:pPr>
            <w:r>
              <w:t xml:space="preserve">Размещение данных протоколов участковых избирательных комиссий об итогах голосования в сети Интернет</w:t>
            </w:r>
            <w:r/>
          </w:p>
          <w:p>
            <w:pPr>
              <w:pStyle w:val="909"/>
              <w:jc w:val="both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  <w:t xml:space="preserve">(</w:t>
            </w:r>
            <w:r>
              <w:rPr>
                <w:i/>
              </w:rPr>
              <w:t xml:space="preserve">п.4.12 Инструкции </w:t>
            </w:r>
            <w:r>
              <w:rPr>
                <w:i/>
                <w:iCs/>
              </w:rPr>
              <w:t xml:space="preserve">по размещению данных ГАС "Выборы" в информационно-телекоммуникационной сети "Интернет", утвержденное постановлением </w:t>
            </w:r>
            <w:r>
              <w:rPr>
                <w:i/>
                <w:iCs/>
              </w:rPr>
              <w:t xml:space="preserve">Ц</w:t>
            </w:r>
            <w:r>
              <w:rPr>
                <w:i/>
                <w:iCs/>
              </w:rPr>
              <w:t xml:space="preserve">ИК России от 27.07.202</w:t>
            </w:r>
            <w:r>
              <w:rPr>
                <w:i/>
                <w:iCs/>
              </w:rPr>
              <w:t xml:space="preserve">2</w:t>
            </w:r>
            <w:r>
              <w:rPr>
                <w:i/>
                <w:iCs/>
              </w:rPr>
              <w:t xml:space="preserve"> года № 748-8)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20"/>
              <w:jc w:val="both"/>
              <w:rPr>
                <w:bCs/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  <w:r>
              <w:rPr>
                <w:bCs/>
                <w:i/>
              </w:rPr>
            </w:r>
          </w:p>
        </w:tc>
        <w:tc>
          <w:tcPr>
            <w:tcW w:w="2041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в течение трех месяцев со дня официального опубликования полных данных о результатах выборов</w:t>
            </w:r>
            <w:r/>
          </w:p>
        </w:tc>
        <w:tc>
          <w:tcPr>
            <w:tcW w:w="2309" w:type="dxa"/>
            <w:vAlign w:val="top"/>
            <w:textDirection w:val="lrTb"/>
            <w:noWrap w:val="false"/>
          </w:tcPr>
          <w:p>
            <w:pPr>
              <w:pStyle w:val="920"/>
              <w:jc w:val="center"/>
            </w:pPr>
            <w:r>
              <w:t xml:space="preserve">ИКНО</w:t>
            </w:r>
            <w:r/>
          </w:p>
        </w:tc>
      </w:tr>
    </w:tbl>
    <w:p>
      <w:pPr>
        <w:pStyle w:val="920"/>
        <w:ind w:firstLine="540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567" w:right="850" w:bottom="113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adea">
    <w:panose1 w:val="02040503050406030204"/>
  </w:font>
  <w:font w:name="Symbol">
    <w:panose1 w:val="05010000000000000000"/>
  </w:font>
  <w:font w:name="Courier New">
    <w:panose1 w:val="02070409020205020404"/>
  </w:font>
  <w:font w:name="Verdana">
    <w:panose1 w:val="020B0606030504020204"/>
  </w:font>
  <w:font w:name="Tahoma">
    <w:panose1 w:val="020B060604050402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3" w:hanging="975"/>
      </w:pPr>
      <w:rPr>
        <w:b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199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70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77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48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55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6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33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408" w:hanging="216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786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0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eastAsia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85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0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2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4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6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8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0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2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45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20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eastAsia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  <w:tabs>
          <w:tab w:val="num" w:pos="1429" w:leader="none"/>
        </w:tabs>
      </w:pPr>
      <w:rPr>
        <w:rFonts w:ascii="Symbol" w:hAnsi="Symbol"/>
        <w:b w:val="0"/>
        <w:i w:val="0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11"/>
  </w:num>
  <w:num w:numId="5">
    <w:abstractNumId w:val="23"/>
  </w:num>
  <w:num w:numId="6">
    <w:abstractNumId w:val="6"/>
  </w:num>
  <w:num w:numId="7">
    <w:abstractNumId w:val="19"/>
  </w:num>
  <w:num w:numId="8">
    <w:abstractNumId w:val="7"/>
  </w:num>
  <w:num w:numId="9">
    <w:abstractNumId w:val="15"/>
  </w:num>
  <w:num w:numId="10">
    <w:abstractNumId w:val="26"/>
  </w:num>
  <w:num w:numId="11">
    <w:abstractNumId w:val="28"/>
  </w:num>
  <w:num w:numId="12">
    <w:abstractNumId w:val="27"/>
  </w:num>
  <w:num w:numId="13">
    <w:abstractNumId w:val="18"/>
  </w:num>
  <w:num w:numId="14">
    <w:abstractNumId w:val="2"/>
  </w:num>
  <w:num w:numId="15">
    <w:abstractNumId w:val="8"/>
  </w:num>
  <w:num w:numId="16">
    <w:abstractNumId w:val="5"/>
  </w:num>
  <w:num w:numId="17">
    <w:abstractNumId w:val="29"/>
  </w:num>
  <w:num w:numId="18">
    <w:abstractNumId w:val="3"/>
  </w:num>
  <w:num w:numId="19">
    <w:abstractNumId w:val="20"/>
  </w:num>
  <w:num w:numId="20">
    <w:abstractNumId w:val="25"/>
  </w:num>
  <w:num w:numId="21">
    <w:abstractNumId w:val="10"/>
  </w:num>
  <w:num w:numId="22">
    <w:abstractNumId w:val="24"/>
  </w:num>
  <w:num w:numId="23">
    <w:abstractNumId w:val="21"/>
  </w:num>
  <w:num w:numId="24">
    <w:abstractNumId w:val="14"/>
  </w:num>
  <w:num w:numId="25">
    <w:abstractNumId w:val="17"/>
  </w:num>
  <w:num w:numId="26">
    <w:abstractNumId w:val="0"/>
  </w:num>
  <w:num w:numId="27">
    <w:abstractNumId w:val="16"/>
  </w:num>
  <w:num w:numId="28">
    <w:abstractNumId w:val="9"/>
  </w:num>
  <w:num w:numId="29">
    <w:abstractNumId w:val="13"/>
  </w:num>
  <w:num w:numId="30">
    <w:abstractNumId w:val="12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1">
    <w:name w:val="Heading 1"/>
    <w:basedOn w:val="909"/>
    <w:next w:val="909"/>
    <w:link w:val="73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32">
    <w:name w:val="Heading 1 Char"/>
    <w:link w:val="73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33">
    <w:name w:val="Heading 2"/>
    <w:basedOn w:val="909"/>
    <w:next w:val="909"/>
    <w:link w:val="73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34">
    <w:name w:val="Heading 2 Char"/>
    <w:link w:val="733"/>
    <w:uiPriority w:val="9"/>
    <w:rPr>
      <w:rFonts w:ascii="Liberation Sans" w:hAnsi="Liberation Sans" w:eastAsia="Liberation Sans" w:cs="Liberation Sans"/>
      <w:sz w:val="34"/>
    </w:rPr>
  </w:style>
  <w:style w:type="paragraph" w:styleId="735">
    <w:name w:val="Heading 3"/>
    <w:basedOn w:val="909"/>
    <w:next w:val="909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36">
    <w:name w:val="Heading 3 Char"/>
    <w:link w:val="73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37">
    <w:name w:val="Heading 4"/>
    <w:basedOn w:val="909"/>
    <w:next w:val="909"/>
    <w:link w:val="73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8">
    <w:name w:val="Heading 4 Char"/>
    <w:link w:val="73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39">
    <w:name w:val="Heading 5"/>
    <w:basedOn w:val="909"/>
    <w:next w:val="909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0">
    <w:name w:val="Heading 5 Char"/>
    <w:link w:val="73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41">
    <w:name w:val="Heading 6"/>
    <w:basedOn w:val="909"/>
    <w:next w:val="909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42">
    <w:name w:val="Heading 6 Char"/>
    <w:link w:val="74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43">
    <w:name w:val="Heading 7"/>
    <w:basedOn w:val="909"/>
    <w:next w:val="909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44">
    <w:name w:val="Heading 7 Char"/>
    <w:link w:val="74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45">
    <w:name w:val="Heading 8"/>
    <w:basedOn w:val="909"/>
    <w:next w:val="909"/>
    <w:link w:val="74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46">
    <w:name w:val="Heading 8 Char"/>
    <w:link w:val="74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47">
    <w:name w:val="Heading 9"/>
    <w:basedOn w:val="909"/>
    <w:next w:val="909"/>
    <w:link w:val="74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8">
    <w:name w:val="Heading 9 Char"/>
    <w:link w:val="74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9">
    <w:name w:val="List Paragraph"/>
    <w:basedOn w:val="909"/>
    <w:uiPriority w:val="34"/>
    <w:qFormat/>
    <w:pPr>
      <w:contextualSpacing/>
      <w:ind w:left="720"/>
    </w:pPr>
  </w:style>
  <w:style w:type="paragraph" w:styleId="750">
    <w:name w:val="No Spacing"/>
    <w:uiPriority w:val="1"/>
    <w:qFormat/>
    <w:pPr>
      <w:spacing w:before="0" w:after="0" w:line="240" w:lineRule="auto"/>
    </w:pPr>
  </w:style>
  <w:style w:type="paragraph" w:styleId="751">
    <w:name w:val="Title"/>
    <w:basedOn w:val="909"/>
    <w:next w:val="909"/>
    <w:link w:val="75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2">
    <w:name w:val="Title Char"/>
    <w:link w:val="751"/>
    <w:uiPriority w:val="10"/>
    <w:rPr>
      <w:sz w:val="48"/>
      <w:szCs w:val="48"/>
    </w:rPr>
  </w:style>
  <w:style w:type="paragraph" w:styleId="753">
    <w:name w:val="Subtitle"/>
    <w:basedOn w:val="909"/>
    <w:next w:val="909"/>
    <w:link w:val="754"/>
    <w:uiPriority w:val="11"/>
    <w:qFormat/>
    <w:pPr>
      <w:spacing w:before="200" w:after="200"/>
    </w:pPr>
    <w:rPr>
      <w:sz w:val="24"/>
      <w:szCs w:val="24"/>
    </w:rPr>
  </w:style>
  <w:style w:type="character" w:styleId="754">
    <w:name w:val="Subtitle Char"/>
    <w:link w:val="753"/>
    <w:uiPriority w:val="11"/>
    <w:rPr>
      <w:sz w:val="24"/>
      <w:szCs w:val="24"/>
    </w:rPr>
  </w:style>
  <w:style w:type="paragraph" w:styleId="755">
    <w:name w:val="Quote"/>
    <w:basedOn w:val="909"/>
    <w:next w:val="909"/>
    <w:link w:val="756"/>
    <w:uiPriority w:val="29"/>
    <w:qFormat/>
    <w:pPr>
      <w:ind w:left="720" w:right="720"/>
    </w:pPr>
    <w:rPr>
      <w:i/>
    </w:rPr>
  </w:style>
  <w:style w:type="character" w:styleId="756">
    <w:name w:val="Quote Char"/>
    <w:link w:val="755"/>
    <w:uiPriority w:val="29"/>
    <w:rPr>
      <w:i/>
    </w:rPr>
  </w:style>
  <w:style w:type="paragraph" w:styleId="757">
    <w:name w:val="Intense Quote"/>
    <w:basedOn w:val="909"/>
    <w:next w:val="909"/>
    <w:link w:val="75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>
    <w:name w:val="Intense Quote Char"/>
    <w:link w:val="757"/>
    <w:uiPriority w:val="30"/>
    <w:rPr>
      <w:i/>
    </w:rPr>
  </w:style>
  <w:style w:type="paragraph" w:styleId="759">
    <w:name w:val="Header"/>
    <w:basedOn w:val="909"/>
    <w:link w:val="76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0">
    <w:name w:val="Header Char"/>
    <w:link w:val="759"/>
    <w:uiPriority w:val="99"/>
  </w:style>
  <w:style w:type="paragraph" w:styleId="761">
    <w:name w:val="Footer"/>
    <w:basedOn w:val="909"/>
    <w:link w:val="7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2">
    <w:name w:val="Footer Char"/>
    <w:link w:val="761"/>
    <w:uiPriority w:val="99"/>
  </w:style>
  <w:style w:type="paragraph" w:styleId="763">
    <w:name w:val="Caption"/>
    <w:basedOn w:val="909"/>
    <w:next w:val="909"/>
    <w:link w:val="7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4">
    <w:name w:val="Caption Char"/>
    <w:link w:val="763"/>
    <w:uiPriority w:val="35"/>
    <w:rPr>
      <w:b/>
      <w:bCs/>
      <w:color w:val="4f81bd" w:themeColor="accent1"/>
      <w:sz w:val="18"/>
      <w:szCs w:val="18"/>
    </w:rPr>
  </w:style>
  <w:style w:type="table" w:styleId="76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6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0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0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1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1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1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6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6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6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6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6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6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7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1">
    <w:name w:val="Hyperlink"/>
    <w:uiPriority w:val="99"/>
    <w:unhideWhenUsed/>
    <w:rPr>
      <w:color w:val="0000ff" w:themeColor="hyperlink"/>
      <w:u w:val="single"/>
    </w:rPr>
  </w:style>
  <w:style w:type="paragraph" w:styleId="892">
    <w:name w:val="footnote text"/>
    <w:basedOn w:val="909"/>
    <w:link w:val="893"/>
    <w:uiPriority w:val="99"/>
    <w:semiHidden/>
    <w:unhideWhenUsed/>
    <w:pPr>
      <w:spacing w:after="40" w:line="240" w:lineRule="auto"/>
    </w:pPr>
    <w:rPr>
      <w:sz w:val="18"/>
    </w:rPr>
  </w:style>
  <w:style w:type="character" w:styleId="893">
    <w:name w:val="Footnote Text Char"/>
    <w:link w:val="892"/>
    <w:uiPriority w:val="99"/>
    <w:rPr>
      <w:sz w:val="18"/>
    </w:rPr>
  </w:style>
  <w:style w:type="character" w:styleId="894">
    <w:name w:val="footnote reference"/>
    <w:uiPriority w:val="99"/>
    <w:unhideWhenUsed/>
    <w:rPr>
      <w:vertAlign w:val="superscript"/>
    </w:rPr>
  </w:style>
  <w:style w:type="paragraph" w:styleId="895">
    <w:name w:val="endnote text"/>
    <w:basedOn w:val="909"/>
    <w:link w:val="896"/>
    <w:uiPriority w:val="99"/>
    <w:semiHidden/>
    <w:unhideWhenUsed/>
    <w:pPr>
      <w:spacing w:after="0" w:line="240" w:lineRule="auto"/>
    </w:pPr>
    <w:rPr>
      <w:sz w:val="20"/>
    </w:rPr>
  </w:style>
  <w:style w:type="character" w:styleId="896">
    <w:name w:val="Endnote Text Char"/>
    <w:link w:val="895"/>
    <w:uiPriority w:val="99"/>
    <w:rPr>
      <w:sz w:val="20"/>
    </w:rPr>
  </w:style>
  <w:style w:type="character" w:styleId="897">
    <w:name w:val="endnote reference"/>
    <w:uiPriority w:val="99"/>
    <w:semiHidden/>
    <w:unhideWhenUsed/>
    <w:rPr>
      <w:vertAlign w:val="superscript"/>
    </w:rPr>
  </w:style>
  <w:style w:type="paragraph" w:styleId="898">
    <w:name w:val="toc 1"/>
    <w:basedOn w:val="909"/>
    <w:next w:val="909"/>
    <w:uiPriority w:val="39"/>
    <w:unhideWhenUsed/>
    <w:pPr>
      <w:ind w:left="0" w:right="0" w:firstLine="0"/>
      <w:spacing w:after="57"/>
    </w:pPr>
  </w:style>
  <w:style w:type="paragraph" w:styleId="899">
    <w:name w:val="toc 2"/>
    <w:basedOn w:val="909"/>
    <w:next w:val="909"/>
    <w:uiPriority w:val="39"/>
    <w:unhideWhenUsed/>
    <w:pPr>
      <w:ind w:left="283" w:right="0" w:firstLine="0"/>
      <w:spacing w:after="57"/>
    </w:pPr>
  </w:style>
  <w:style w:type="paragraph" w:styleId="900">
    <w:name w:val="toc 3"/>
    <w:basedOn w:val="909"/>
    <w:next w:val="909"/>
    <w:uiPriority w:val="39"/>
    <w:unhideWhenUsed/>
    <w:pPr>
      <w:ind w:left="567" w:right="0" w:firstLine="0"/>
      <w:spacing w:after="57"/>
    </w:pPr>
  </w:style>
  <w:style w:type="paragraph" w:styleId="901">
    <w:name w:val="toc 4"/>
    <w:basedOn w:val="909"/>
    <w:next w:val="909"/>
    <w:uiPriority w:val="39"/>
    <w:unhideWhenUsed/>
    <w:pPr>
      <w:ind w:left="850" w:right="0" w:firstLine="0"/>
      <w:spacing w:after="57"/>
    </w:pPr>
  </w:style>
  <w:style w:type="paragraph" w:styleId="902">
    <w:name w:val="toc 5"/>
    <w:basedOn w:val="909"/>
    <w:next w:val="909"/>
    <w:uiPriority w:val="39"/>
    <w:unhideWhenUsed/>
    <w:pPr>
      <w:ind w:left="1134" w:right="0" w:firstLine="0"/>
      <w:spacing w:after="57"/>
    </w:pPr>
  </w:style>
  <w:style w:type="paragraph" w:styleId="903">
    <w:name w:val="toc 6"/>
    <w:basedOn w:val="909"/>
    <w:next w:val="909"/>
    <w:uiPriority w:val="39"/>
    <w:unhideWhenUsed/>
    <w:pPr>
      <w:ind w:left="1417" w:right="0" w:firstLine="0"/>
      <w:spacing w:after="57"/>
    </w:pPr>
  </w:style>
  <w:style w:type="paragraph" w:styleId="904">
    <w:name w:val="toc 7"/>
    <w:basedOn w:val="909"/>
    <w:next w:val="909"/>
    <w:uiPriority w:val="39"/>
    <w:unhideWhenUsed/>
    <w:pPr>
      <w:ind w:left="1701" w:right="0" w:firstLine="0"/>
      <w:spacing w:after="57"/>
    </w:pPr>
  </w:style>
  <w:style w:type="paragraph" w:styleId="905">
    <w:name w:val="toc 8"/>
    <w:basedOn w:val="909"/>
    <w:next w:val="909"/>
    <w:uiPriority w:val="39"/>
    <w:unhideWhenUsed/>
    <w:pPr>
      <w:ind w:left="1984" w:right="0" w:firstLine="0"/>
      <w:spacing w:after="57"/>
    </w:pPr>
  </w:style>
  <w:style w:type="paragraph" w:styleId="906">
    <w:name w:val="toc 9"/>
    <w:basedOn w:val="909"/>
    <w:next w:val="909"/>
    <w:uiPriority w:val="39"/>
    <w:unhideWhenUsed/>
    <w:pPr>
      <w:ind w:left="2268" w:right="0" w:firstLine="0"/>
      <w:spacing w:after="57"/>
    </w:pPr>
  </w:style>
  <w:style w:type="paragraph" w:styleId="907">
    <w:name w:val="TOC Heading"/>
    <w:uiPriority w:val="39"/>
    <w:unhideWhenUsed/>
  </w:style>
  <w:style w:type="paragraph" w:styleId="908">
    <w:name w:val="table of figures"/>
    <w:basedOn w:val="909"/>
    <w:next w:val="909"/>
    <w:uiPriority w:val="99"/>
    <w:unhideWhenUsed/>
    <w:pPr>
      <w:spacing w:after="0" w:afterAutospacing="0"/>
    </w:pPr>
  </w:style>
  <w:style w:type="paragraph" w:styleId="909" w:default="1">
    <w:name w:val="Normal"/>
    <w:next w:val="909"/>
    <w:link w:val="909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910">
    <w:name w:val="Заголовок 1"/>
    <w:basedOn w:val="909"/>
    <w:next w:val="909"/>
    <w:link w:val="942"/>
    <w:uiPriority w:val="9"/>
    <w:qFormat/>
    <w:pPr>
      <w:keepNext/>
      <w:outlineLvl w:val="0"/>
    </w:pPr>
    <w:rPr>
      <w:b/>
      <w:sz w:val="28"/>
      <w:szCs w:val="20"/>
    </w:rPr>
  </w:style>
  <w:style w:type="paragraph" w:styleId="911">
    <w:name w:val="Заголовок 2"/>
    <w:basedOn w:val="909"/>
    <w:next w:val="909"/>
    <w:link w:val="946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12">
    <w:name w:val="Заголовок 3"/>
    <w:basedOn w:val="909"/>
    <w:next w:val="909"/>
    <w:link w:val="947"/>
    <w:uiPriority w:val="9"/>
    <w:qFormat/>
    <w:pPr>
      <w:jc w:val="right"/>
      <w:keepNext/>
      <w:outlineLvl w:val="2"/>
    </w:pPr>
    <w:rPr>
      <w:sz w:val="28"/>
      <w:szCs w:val="28"/>
    </w:rPr>
  </w:style>
  <w:style w:type="paragraph" w:styleId="913">
    <w:name w:val="Заголовок 4"/>
    <w:basedOn w:val="909"/>
    <w:next w:val="909"/>
    <w:link w:val="944"/>
    <w:uiPriority w:val="9"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914">
    <w:name w:val="Заголовок 5"/>
    <w:basedOn w:val="909"/>
    <w:next w:val="909"/>
    <w:link w:val="948"/>
    <w:uiPriority w:val="9"/>
    <w:qFormat/>
    <w:pPr>
      <w:jc w:val="right"/>
      <w:keepNext/>
      <w:outlineLvl w:val="4"/>
    </w:pPr>
    <w:rPr>
      <w:b/>
      <w:i/>
      <w:sz w:val="28"/>
      <w:szCs w:val="20"/>
      <w:u w:val="single"/>
      <w:lang w:val="en-US"/>
    </w:rPr>
  </w:style>
  <w:style w:type="character" w:styleId="915">
    <w:name w:val="Основной шрифт абзаца"/>
    <w:next w:val="915"/>
    <w:link w:val="909"/>
    <w:uiPriority w:val="1"/>
    <w:semiHidden/>
    <w:unhideWhenUsed/>
  </w:style>
  <w:style w:type="table" w:styleId="916">
    <w:name w:val="Обычная таблица"/>
    <w:next w:val="916"/>
    <w:link w:val="909"/>
    <w:uiPriority w:val="99"/>
    <w:semiHidden/>
    <w:unhideWhenUsed/>
    <w:qFormat/>
    <w:tblPr/>
  </w:style>
  <w:style w:type="numbering" w:styleId="917">
    <w:name w:val="Нет списка"/>
    <w:next w:val="917"/>
    <w:link w:val="909"/>
    <w:uiPriority w:val="99"/>
    <w:semiHidden/>
    <w:unhideWhenUsed/>
  </w:style>
  <w:style w:type="paragraph" w:styleId="918">
    <w:name w:val="Нижний колонтитул"/>
    <w:basedOn w:val="909"/>
    <w:next w:val="918"/>
    <w:link w:val="9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9">
    <w:name w:val="Нижний колонтитул Знак"/>
    <w:next w:val="919"/>
    <w:link w:val="918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0">
    <w:name w:val="ConsPlusNormal"/>
    <w:next w:val="920"/>
    <w:link w:val="909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921">
    <w:name w:val="14-15"/>
    <w:basedOn w:val="909"/>
    <w:next w:val="921"/>
    <w:link w:val="909"/>
    <w:uiPriority w:val="99"/>
    <w:pPr>
      <w:ind w:firstLine="709"/>
      <w:jc w:val="both"/>
      <w:spacing w:line="360" w:lineRule="auto"/>
    </w:pPr>
    <w:rPr>
      <w:sz w:val="28"/>
    </w:rPr>
  </w:style>
  <w:style w:type="paragraph" w:styleId="922">
    <w:name w:val="Основной текст 21"/>
    <w:basedOn w:val="909"/>
    <w:next w:val="922"/>
    <w:link w:val="909"/>
    <w:pPr>
      <w:ind w:firstLine="708"/>
      <w:jc w:val="both"/>
      <w:spacing w:before="60"/>
    </w:pPr>
    <w:rPr>
      <w:rFonts w:ascii="Arial" w:hAnsi="Arial"/>
      <w:sz w:val="26"/>
      <w:szCs w:val="20"/>
    </w:rPr>
  </w:style>
  <w:style w:type="paragraph" w:styleId="923">
    <w:name w:val="Обычный1"/>
    <w:next w:val="923"/>
    <w:link w:val="909"/>
    <w:rPr>
      <w:rFonts w:ascii="Times New Roman" w:hAnsi="Times New Roman" w:eastAsia="Times New Roman"/>
      <w:sz w:val="26"/>
      <w:lang w:val="ru-RU" w:eastAsia="ru-RU" w:bidi="ar-SA"/>
    </w:rPr>
  </w:style>
  <w:style w:type="paragraph" w:styleId="924">
    <w:name w:val="Обычный2"/>
    <w:next w:val="924"/>
    <w:link w:val="909"/>
    <w:rPr>
      <w:rFonts w:ascii="Times New Roman" w:hAnsi="Times New Roman" w:eastAsia="Times New Roman"/>
      <w:sz w:val="26"/>
      <w:lang w:val="ru-RU" w:eastAsia="ru-RU" w:bidi="ar-SA"/>
    </w:rPr>
  </w:style>
  <w:style w:type="paragraph" w:styleId="925">
    <w:name w:val="Абзац списка"/>
    <w:basedOn w:val="909"/>
    <w:next w:val="925"/>
    <w:link w:val="909"/>
    <w:uiPriority w:val="34"/>
    <w:qFormat/>
    <w:pPr>
      <w:contextualSpacing/>
      <w:ind w:left="720"/>
    </w:pPr>
    <w:rPr>
      <w:sz w:val="20"/>
      <w:szCs w:val="20"/>
    </w:rPr>
  </w:style>
  <w:style w:type="paragraph" w:styleId="926">
    <w:name w:val="Основной текст 3"/>
    <w:basedOn w:val="909"/>
    <w:next w:val="926"/>
    <w:link w:val="927"/>
    <w:uiPriority w:val="99"/>
    <w:unhideWhenUsed/>
    <w:pPr>
      <w:spacing w:after="120"/>
    </w:pPr>
    <w:rPr>
      <w:sz w:val="16"/>
      <w:szCs w:val="16"/>
    </w:rPr>
  </w:style>
  <w:style w:type="character" w:styleId="927">
    <w:name w:val="Основной текст 3 Знак"/>
    <w:next w:val="927"/>
    <w:link w:val="926"/>
    <w:uiPriority w:val="99"/>
    <w:rPr>
      <w:rFonts w:ascii="Times New Roman" w:hAnsi="Times New Roman" w:eastAsia="Times New Roman"/>
      <w:sz w:val="16"/>
      <w:szCs w:val="16"/>
    </w:rPr>
  </w:style>
  <w:style w:type="paragraph" w:styleId="928">
    <w:name w:val="Основной текст с отступом 2"/>
    <w:basedOn w:val="909"/>
    <w:next w:val="928"/>
    <w:link w:val="929"/>
    <w:uiPriority w:val="99"/>
    <w:unhideWhenUsed/>
    <w:pPr>
      <w:ind w:left="283"/>
      <w:spacing w:after="120" w:line="480" w:lineRule="auto"/>
    </w:pPr>
    <w:rPr>
      <w:sz w:val="20"/>
      <w:szCs w:val="20"/>
    </w:rPr>
  </w:style>
  <w:style w:type="character" w:styleId="929">
    <w:name w:val="Основной текст с отступом 2 Знак"/>
    <w:next w:val="929"/>
    <w:link w:val="928"/>
    <w:uiPriority w:val="99"/>
    <w:rPr>
      <w:rFonts w:ascii="Times New Roman" w:hAnsi="Times New Roman" w:eastAsia="Times New Roman"/>
    </w:rPr>
  </w:style>
  <w:style w:type="paragraph" w:styleId="930">
    <w:name w:val="Основной текст 2"/>
    <w:basedOn w:val="909"/>
    <w:next w:val="930"/>
    <w:link w:val="931"/>
    <w:uiPriority w:val="99"/>
    <w:unhideWhenUsed/>
    <w:pPr>
      <w:spacing w:after="120" w:line="480" w:lineRule="auto"/>
    </w:pPr>
    <w:rPr>
      <w:sz w:val="20"/>
      <w:szCs w:val="20"/>
    </w:rPr>
  </w:style>
  <w:style w:type="character" w:styleId="931">
    <w:name w:val="Основной текст 2 Знак"/>
    <w:next w:val="931"/>
    <w:link w:val="930"/>
    <w:uiPriority w:val="99"/>
    <w:rPr>
      <w:rFonts w:ascii="Times New Roman" w:hAnsi="Times New Roman" w:eastAsia="Times New Roman"/>
    </w:rPr>
  </w:style>
  <w:style w:type="paragraph" w:styleId="932">
    <w:name w:val="Загл.14"/>
    <w:basedOn w:val="909"/>
    <w:next w:val="932"/>
    <w:link w:val="909"/>
    <w:pPr>
      <w:jc w:val="center"/>
    </w:pPr>
    <w:rPr>
      <w:b/>
      <w:sz w:val="28"/>
      <w:szCs w:val="20"/>
    </w:rPr>
  </w:style>
  <w:style w:type="paragraph" w:styleId="933">
    <w:name w:val="Название"/>
    <w:basedOn w:val="909"/>
    <w:next w:val="933"/>
    <w:link w:val="934"/>
    <w:uiPriority w:val="10"/>
    <w:qFormat/>
    <w:pPr>
      <w:jc w:val="center"/>
    </w:pPr>
    <w:rPr>
      <w:b/>
      <w:szCs w:val="20"/>
    </w:rPr>
  </w:style>
  <w:style w:type="character" w:styleId="934">
    <w:name w:val="Название Знак"/>
    <w:next w:val="934"/>
    <w:link w:val="933"/>
    <w:uiPriority w:val="10"/>
    <w:rPr>
      <w:rFonts w:ascii="Times New Roman" w:hAnsi="Times New Roman" w:eastAsia="Times New Roman"/>
      <w:b/>
      <w:sz w:val="24"/>
    </w:rPr>
  </w:style>
  <w:style w:type="paragraph" w:styleId="935">
    <w:name w:val="Текст сноски"/>
    <w:basedOn w:val="909"/>
    <w:next w:val="935"/>
    <w:link w:val="936"/>
    <w:uiPriority w:val="99"/>
    <w:semiHidden/>
    <w:pPr>
      <w:jc w:val="both"/>
      <w:keepLines/>
      <w:spacing w:after="120"/>
    </w:pPr>
    <w:rPr>
      <w:rFonts w:eastAsia="Batang"/>
      <w:sz w:val="22"/>
      <w:szCs w:val="20"/>
    </w:rPr>
  </w:style>
  <w:style w:type="character" w:styleId="936">
    <w:name w:val="Текст сноски Знак"/>
    <w:next w:val="936"/>
    <w:link w:val="935"/>
    <w:uiPriority w:val="99"/>
    <w:rPr>
      <w:rFonts w:ascii="Times New Roman" w:hAnsi="Times New Roman" w:eastAsia="Batang"/>
      <w:sz w:val="22"/>
    </w:rPr>
  </w:style>
  <w:style w:type="character" w:styleId="937">
    <w:name w:val="Знак сноски"/>
    <w:next w:val="937"/>
    <w:link w:val="909"/>
    <w:uiPriority w:val="99"/>
    <w:semiHidden/>
    <w:rPr>
      <w:sz w:val="20"/>
      <w:vertAlign w:val="superscript"/>
    </w:rPr>
  </w:style>
  <w:style w:type="paragraph" w:styleId="938">
    <w:name w:val="Основной текст с отступом"/>
    <w:basedOn w:val="909"/>
    <w:next w:val="938"/>
    <w:link w:val="939"/>
    <w:uiPriority w:val="99"/>
    <w:unhideWhenUsed/>
    <w:pPr>
      <w:ind w:left="283"/>
      <w:spacing w:after="120"/>
    </w:pPr>
  </w:style>
  <w:style w:type="character" w:styleId="939">
    <w:name w:val="Основной текст с отступом Знак"/>
    <w:next w:val="939"/>
    <w:link w:val="938"/>
    <w:uiPriority w:val="99"/>
    <w:rPr>
      <w:rFonts w:ascii="Times New Roman" w:hAnsi="Times New Roman" w:eastAsia="Times New Roman"/>
      <w:sz w:val="24"/>
      <w:szCs w:val="24"/>
    </w:rPr>
  </w:style>
  <w:style w:type="paragraph" w:styleId="940">
    <w:name w:val="Основной текст"/>
    <w:basedOn w:val="909"/>
    <w:next w:val="940"/>
    <w:link w:val="941"/>
    <w:uiPriority w:val="99"/>
    <w:unhideWhenUsed/>
    <w:pPr>
      <w:spacing w:after="120"/>
    </w:pPr>
  </w:style>
  <w:style w:type="character" w:styleId="941">
    <w:name w:val="Основной текст Знак"/>
    <w:next w:val="941"/>
    <w:link w:val="940"/>
    <w:rPr>
      <w:rFonts w:ascii="Times New Roman" w:hAnsi="Times New Roman" w:eastAsia="Times New Roman"/>
      <w:sz w:val="24"/>
      <w:szCs w:val="24"/>
    </w:rPr>
  </w:style>
  <w:style w:type="character" w:styleId="942">
    <w:name w:val="Заголовок 1 Знак"/>
    <w:next w:val="942"/>
    <w:link w:val="910"/>
    <w:uiPriority w:val="9"/>
    <w:rPr>
      <w:rFonts w:ascii="Times New Roman" w:hAnsi="Times New Roman" w:eastAsia="Times New Roman"/>
      <w:b/>
      <w:sz w:val="28"/>
    </w:rPr>
  </w:style>
  <w:style w:type="paragraph" w:styleId="943">
    <w:name w:val="Обычный (веб)"/>
    <w:basedOn w:val="909"/>
    <w:next w:val="943"/>
    <w:link w:val="909"/>
    <w:uiPriority w:val="99"/>
    <w:pPr>
      <w:spacing w:before="100" w:beforeAutospacing="1" w:after="100" w:afterAutospacing="1"/>
    </w:pPr>
  </w:style>
  <w:style w:type="character" w:styleId="944">
    <w:name w:val="Заголовок 4 Знак"/>
    <w:next w:val="944"/>
    <w:link w:val="913"/>
    <w:uiPriority w:val="9"/>
    <w:semiHidden/>
    <w:rPr>
      <w:rFonts w:ascii="Calibri" w:hAnsi="Calibri" w:eastAsia="Times New Roman" w:cs="Times New Roman"/>
      <w:b/>
      <w:bCs/>
      <w:sz w:val="28"/>
      <w:szCs w:val="28"/>
    </w:rPr>
  </w:style>
  <w:style w:type="paragraph" w:styleId="945">
    <w:name w:val="HeadDoc"/>
    <w:next w:val="945"/>
    <w:link w:val="909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946">
    <w:name w:val="Заголовок 2 Знак"/>
    <w:next w:val="946"/>
    <w:link w:val="911"/>
    <w:uiPriority w:val="9"/>
    <w:rPr>
      <w:rFonts w:ascii="Arial" w:hAnsi="Arial" w:eastAsia="Times New Roman" w:cs="Arial"/>
      <w:b/>
      <w:bCs/>
      <w:i/>
      <w:iCs/>
      <w:sz w:val="28"/>
      <w:szCs w:val="28"/>
    </w:rPr>
  </w:style>
  <w:style w:type="character" w:styleId="947">
    <w:name w:val="Заголовок 3 Знак"/>
    <w:next w:val="947"/>
    <w:link w:val="912"/>
    <w:uiPriority w:val="9"/>
    <w:rPr>
      <w:rFonts w:ascii="Times New Roman" w:hAnsi="Times New Roman" w:eastAsia="Times New Roman"/>
      <w:sz w:val="28"/>
      <w:szCs w:val="28"/>
    </w:rPr>
  </w:style>
  <w:style w:type="character" w:styleId="948">
    <w:name w:val="Заголовок 5 Знак"/>
    <w:next w:val="948"/>
    <w:link w:val="914"/>
    <w:uiPriority w:val="9"/>
    <w:rPr>
      <w:rFonts w:ascii="Times New Roman" w:hAnsi="Times New Roman" w:eastAsia="Times New Roman"/>
      <w:b/>
      <w:i/>
      <w:sz w:val="28"/>
      <w:u w:val="single"/>
      <w:lang w:val="en-US"/>
    </w:rPr>
  </w:style>
  <w:style w:type="character" w:styleId="949">
    <w:name w:val="Гиперссылка"/>
    <w:next w:val="949"/>
    <w:link w:val="909"/>
    <w:uiPriority w:val="99"/>
    <w:rPr>
      <w:rFonts w:cs="Times New Roman"/>
      <w:color w:val="0000ff"/>
      <w:u w:val="single"/>
    </w:rPr>
  </w:style>
  <w:style w:type="character" w:styleId="950">
    <w:name w:val="Основной текст Знак1"/>
    <w:next w:val="950"/>
    <w:link w:val="909"/>
    <w:uiPriority w:val="99"/>
    <w:rPr>
      <w:rFonts w:cs="Times New Roman"/>
      <w:b/>
      <w:sz w:val="24"/>
      <w:lang w:val="ru-RU" w:eastAsia="ru-RU" w:bidi="ar-SA"/>
    </w:rPr>
  </w:style>
  <w:style w:type="paragraph" w:styleId="951">
    <w:name w:val="Верхний колонтитул"/>
    <w:basedOn w:val="909"/>
    <w:next w:val="951"/>
    <w:link w:val="952"/>
    <w:uiPriority w:val="99"/>
    <w:pPr>
      <w:tabs>
        <w:tab w:val="center" w:pos="4677" w:leader="none"/>
        <w:tab w:val="right" w:pos="9355" w:leader="none"/>
      </w:tabs>
    </w:pPr>
  </w:style>
  <w:style w:type="character" w:styleId="952">
    <w:name w:val="Верхний колонтитул Знак"/>
    <w:next w:val="952"/>
    <w:link w:val="951"/>
    <w:uiPriority w:val="99"/>
    <w:rPr>
      <w:rFonts w:ascii="Times New Roman" w:hAnsi="Times New Roman" w:eastAsia="Times New Roman"/>
      <w:sz w:val="24"/>
      <w:szCs w:val="24"/>
    </w:rPr>
  </w:style>
  <w:style w:type="character" w:styleId="953">
    <w:name w:val="Номер страницы"/>
    <w:next w:val="953"/>
    <w:link w:val="909"/>
    <w:uiPriority w:val="99"/>
    <w:rPr>
      <w:rFonts w:cs="Times New Roman"/>
    </w:rPr>
  </w:style>
  <w:style w:type="paragraph" w:styleId="954">
    <w:name w:val="Текст выноски"/>
    <w:basedOn w:val="909"/>
    <w:next w:val="954"/>
    <w:link w:val="955"/>
    <w:uiPriority w:val="99"/>
    <w:semiHidden/>
    <w:rPr>
      <w:rFonts w:ascii="Tahoma" w:hAnsi="Tahoma" w:cs="Tahoma"/>
      <w:sz w:val="16"/>
      <w:szCs w:val="16"/>
    </w:rPr>
  </w:style>
  <w:style w:type="character" w:styleId="955">
    <w:name w:val="Текст выноски Знак"/>
    <w:next w:val="955"/>
    <w:link w:val="954"/>
    <w:uiPriority w:val="99"/>
    <w:semiHidden/>
    <w:rPr>
      <w:rFonts w:ascii="Tahoma" w:hAnsi="Tahoma" w:eastAsia="Times New Roman" w:cs="Tahoma"/>
      <w:sz w:val="16"/>
      <w:szCs w:val="16"/>
    </w:rPr>
  </w:style>
  <w:style w:type="paragraph" w:styleId="956">
    <w:name w:val="Знак Знак1 Знак Знак Знак Знак"/>
    <w:basedOn w:val="909"/>
    <w:next w:val="956"/>
    <w:link w:val="90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957">
    <w:name w:val="Цитата"/>
    <w:basedOn w:val="909"/>
    <w:next w:val="957"/>
    <w:link w:val="909"/>
    <w:uiPriority w:val="99"/>
    <w:pPr>
      <w:ind w:left="-142" w:right="-285"/>
      <w:jc w:val="center"/>
    </w:pPr>
    <w:rPr>
      <w:rFonts w:ascii="Arial" w:hAnsi="Arial"/>
      <w:b/>
      <w:bCs/>
      <w:sz w:val="26"/>
      <w:szCs w:val="20"/>
    </w:rPr>
  </w:style>
  <w:style w:type="paragraph" w:styleId="958">
    <w:name w:val="Схема документа"/>
    <w:basedOn w:val="909"/>
    <w:next w:val="958"/>
    <w:link w:val="959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959">
    <w:name w:val="Схема документа Знак"/>
    <w:next w:val="959"/>
    <w:link w:val="958"/>
    <w:uiPriority w:val="99"/>
    <w:semiHidden/>
    <w:rPr>
      <w:rFonts w:ascii="Tahoma" w:hAnsi="Tahoma" w:eastAsia="Times New Roman" w:cs="Tahoma"/>
      <w:shd w:val="clear" w:color="auto" w:fill="000080"/>
    </w:rPr>
  </w:style>
  <w:style w:type="character" w:styleId="960">
    <w:name w:val="Гипертекстовая ссылка"/>
    <w:next w:val="960"/>
    <w:link w:val="909"/>
    <w:rPr>
      <w:rFonts w:cs="Times New Roman"/>
      <w:b/>
      <w:bCs/>
      <w:color w:val="106bbe"/>
    </w:rPr>
  </w:style>
  <w:style w:type="character" w:styleId="961">
    <w:name w:val="Body Text 2 Char"/>
    <w:next w:val="961"/>
    <w:link w:val="909"/>
    <w:rPr>
      <w:rFonts w:cs="Times New Roman"/>
    </w:rPr>
  </w:style>
  <w:style w:type="paragraph" w:styleId="962">
    <w:name w:val="Oaeno"/>
    <w:basedOn w:val="909"/>
    <w:next w:val="962"/>
    <w:link w:val="909"/>
    <w:pPr>
      <w:widowControl w:val="off"/>
    </w:pPr>
    <w:rPr>
      <w:rFonts w:ascii="Courier New" w:hAnsi="Courier New"/>
      <w:sz w:val="20"/>
      <w:szCs w:val="20"/>
    </w:rPr>
  </w:style>
  <w:style w:type="paragraph" w:styleId="963">
    <w:name w:val="Знак"/>
    <w:basedOn w:val="909"/>
    <w:next w:val="963"/>
    <w:link w:val="90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964">
    <w:name w:val="ConsPlusNonformat"/>
    <w:next w:val="964"/>
    <w:link w:val="909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965">
    <w:name w:val="ConsPlusTitle"/>
    <w:next w:val="965"/>
    <w:link w:val="909"/>
    <w:pPr>
      <w:widowControl w:val="off"/>
    </w:pPr>
    <w:rPr>
      <w:rFonts w:ascii="Times New Roman" w:hAnsi="Times New Roman" w:eastAsia="Times New Roman"/>
      <w:b/>
      <w:sz w:val="24"/>
      <w:lang w:val="ru-RU" w:eastAsia="ru-RU" w:bidi="ar-SA"/>
    </w:rPr>
  </w:style>
  <w:style w:type="paragraph" w:styleId="966">
    <w:name w:val="Стандартный HTML"/>
    <w:basedOn w:val="909"/>
    <w:next w:val="966"/>
    <w:link w:val="967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67">
    <w:name w:val="Стандартный HTML Знак"/>
    <w:next w:val="967"/>
    <w:link w:val="966"/>
    <w:uiPriority w:val="99"/>
    <w:rPr>
      <w:rFonts w:ascii="Courier New" w:hAnsi="Courier New" w:eastAsia="Times New Roman" w:cs="Courier New"/>
    </w:rPr>
  </w:style>
  <w:style w:type="paragraph" w:styleId="968">
    <w:name w:val="заголовок 1"/>
    <w:basedOn w:val="909"/>
    <w:next w:val="909"/>
    <w:link w:val="909"/>
    <w:pPr>
      <w:ind w:right="-30"/>
      <w:jc w:val="center"/>
      <w:keepNext/>
      <w:widowControl w:val="off"/>
    </w:pPr>
    <w:rPr>
      <w:rFonts w:ascii="Arial" w:hAnsi="Arial"/>
      <w:b/>
      <w:color w:val="000000"/>
      <w:sz w:val="20"/>
      <w:szCs w:val="20"/>
    </w:rPr>
  </w:style>
  <w:style w:type="character" w:styleId="969">
    <w:name w:val="Строгий"/>
    <w:next w:val="969"/>
    <w:link w:val="909"/>
    <w:qFormat/>
    <w:rPr>
      <w:rFonts w:ascii="Arial" w:hAnsi="Arial" w:cs="Arial"/>
      <w:b/>
      <w:bCs/>
      <w:color w:val="484848"/>
      <w:spacing w:val="7"/>
    </w:rPr>
  </w:style>
  <w:style w:type="character" w:styleId="970" w:default="1">
    <w:name w:val="Default Paragraph Font"/>
    <w:uiPriority w:val="1"/>
    <w:semiHidden/>
    <w:unhideWhenUsed/>
  </w:style>
  <w:style w:type="numbering" w:styleId="971" w:default="1">
    <w:name w:val="No List"/>
    <w:uiPriority w:val="99"/>
    <w:semiHidden/>
    <w:unhideWhenUsed/>
  </w:style>
  <w:style w:type="table" w:styleId="9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14</cp:revision>
  <dcterms:created xsi:type="dcterms:W3CDTF">2024-05-22T13:30:00Z</dcterms:created>
  <dcterms:modified xsi:type="dcterms:W3CDTF">2026-07-03T13:04:16Z</dcterms:modified>
  <cp:version>917504</cp:version>
</cp:coreProperties>
</file>